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7D1" w:rsidRPr="009A27D1" w:rsidRDefault="006C69E2" w:rsidP="00400188">
      <w:pPr>
        <w:spacing w:after="0" w:line="240" w:lineRule="auto"/>
        <w:ind w:left="0" w:firstLine="0"/>
        <w:jc w:val="center"/>
        <w:rPr>
          <w:sz w:val="22"/>
        </w:rPr>
      </w:pPr>
      <w:r>
        <w:fldChar w:fldCharType="begin"/>
      </w:r>
      <w:r>
        <w:instrText xml:space="preserve"> HYPERLINK "https://e-journal.iainptk.ac.id/index.php/j-md/issue/view/180" \h </w:instrText>
      </w:r>
      <w:r>
        <w:fldChar w:fldCharType="separate"/>
      </w:r>
      <w:r w:rsidR="001520C8">
        <w:rPr>
          <w:sz w:val="22"/>
        </w:rPr>
        <w:t xml:space="preserve"> </w:t>
      </w:r>
      <w:proofErr w:type="gramStart"/>
      <w:r w:rsidR="001520C8">
        <w:rPr>
          <w:sz w:val="22"/>
        </w:rPr>
        <w:t>Volume :</w:t>
      </w:r>
      <w:proofErr w:type="gramEnd"/>
      <w:r w:rsidR="001520C8">
        <w:rPr>
          <w:sz w:val="22"/>
        </w:rPr>
        <w:t xml:space="preserve"> 6</w:t>
      </w:r>
      <w:r w:rsidR="009A27D1" w:rsidRPr="009A27D1">
        <w:rPr>
          <w:sz w:val="22"/>
        </w:rPr>
        <w:t xml:space="preserve">, Number : </w:t>
      </w:r>
      <w:r w:rsidR="001520C8">
        <w:rPr>
          <w:sz w:val="22"/>
        </w:rPr>
        <w:t>1</w:t>
      </w:r>
      <w:r w:rsidR="0016009C">
        <w:rPr>
          <w:sz w:val="22"/>
        </w:rPr>
        <w:t xml:space="preserve">, </w:t>
      </w:r>
      <w:r w:rsidR="001520C8">
        <w:rPr>
          <w:sz w:val="22"/>
        </w:rPr>
        <w:t xml:space="preserve"> </w:t>
      </w:r>
      <w:r w:rsidR="0016009C">
        <w:rPr>
          <w:sz w:val="22"/>
        </w:rPr>
        <w:t xml:space="preserve">July </w:t>
      </w:r>
      <w:r w:rsidR="001520C8">
        <w:rPr>
          <w:sz w:val="22"/>
        </w:rPr>
        <w:t>2025</w:t>
      </w:r>
    </w:p>
    <w:p w:rsidR="00625243" w:rsidRDefault="006C69E2" w:rsidP="00400188">
      <w:pPr>
        <w:pStyle w:val="Heading3"/>
      </w:pPr>
      <w:r>
        <w:t xml:space="preserve"> </w:t>
      </w:r>
      <w:r>
        <w:fldChar w:fldCharType="end"/>
      </w:r>
    </w:p>
    <w:p w:rsidR="00625243" w:rsidRDefault="006C69E2" w:rsidP="00400188">
      <w:pPr>
        <w:spacing w:after="0" w:line="240" w:lineRule="auto"/>
        <w:ind w:left="0" w:firstLine="0"/>
        <w:jc w:val="left"/>
      </w:pPr>
      <w:r>
        <w:t xml:space="preserve"> </w:t>
      </w:r>
      <w:r>
        <w:rPr>
          <w:b/>
        </w:rPr>
        <w:t xml:space="preserve"> </w:t>
      </w:r>
    </w:p>
    <w:p w:rsidR="00CB4323" w:rsidRDefault="00CB4323" w:rsidP="00400188">
      <w:pPr>
        <w:spacing w:after="0" w:line="276" w:lineRule="auto"/>
        <w:ind w:left="0" w:firstLine="0"/>
        <w:jc w:val="center"/>
        <w:rPr>
          <w:b/>
          <w:bCs/>
          <w:szCs w:val="24"/>
        </w:rPr>
      </w:pPr>
      <w:r w:rsidRPr="00840AE6">
        <w:rPr>
          <w:b/>
          <w:bCs/>
          <w:szCs w:val="24"/>
        </w:rPr>
        <w:t>OPTIMIZING HAJJ AND UMRAH GUIDANCE AS AN EFFECTIVE RELIGIOUS PILGRIMAGE SOLUTION: A CASE STUDY O</w:t>
      </w:r>
      <w:r>
        <w:rPr>
          <w:b/>
          <w:bCs/>
          <w:szCs w:val="24"/>
        </w:rPr>
        <w:t xml:space="preserve">F </w:t>
      </w:r>
    </w:p>
    <w:p w:rsidR="00625243" w:rsidRDefault="00CB4323" w:rsidP="00400188">
      <w:pPr>
        <w:spacing w:after="0" w:line="276" w:lineRule="auto"/>
        <w:ind w:left="0" w:firstLine="0"/>
        <w:jc w:val="center"/>
        <w:rPr>
          <w:b/>
        </w:rPr>
      </w:pPr>
      <w:r>
        <w:rPr>
          <w:b/>
          <w:bCs/>
          <w:szCs w:val="24"/>
        </w:rPr>
        <w:t>KBIHU MULTAZAM SITI KHODIJAH</w:t>
      </w:r>
      <w:r w:rsidRPr="009A27D1">
        <w:rPr>
          <w:b/>
        </w:rPr>
        <w:t xml:space="preserve"> </w:t>
      </w:r>
    </w:p>
    <w:p w:rsidR="00CB4323" w:rsidRPr="005C19BF" w:rsidRDefault="00CB4323" w:rsidP="00400188">
      <w:pPr>
        <w:spacing w:after="0" w:line="276" w:lineRule="auto"/>
        <w:ind w:left="0" w:firstLine="0"/>
        <w:jc w:val="center"/>
        <w:rPr>
          <w:b/>
          <w:bCs/>
        </w:rPr>
      </w:pPr>
    </w:p>
    <w:p w:rsidR="00CB4323" w:rsidRDefault="00CB4323" w:rsidP="00400188">
      <w:pPr>
        <w:spacing w:after="0" w:line="240" w:lineRule="auto"/>
        <w:ind w:left="45" w:firstLine="0"/>
        <w:jc w:val="center"/>
      </w:pPr>
      <w:r>
        <w:t xml:space="preserve">Ahmad </w:t>
      </w:r>
      <w:proofErr w:type="spellStart"/>
      <w:r>
        <w:t>Saipul</w:t>
      </w:r>
      <w:proofErr w:type="spellEnd"/>
      <w:r>
        <w:t xml:space="preserve"> H</w:t>
      </w:r>
      <w:r w:rsidRPr="00CB4323">
        <w:t>arahap</w:t>
      </w:r>
      <w:r>
        <w:rPr>
          <w:vertAlign w:val="superscript"/>
        </w:rPr>
        <w:t>1</w:t>
      </w:r>
      <w:r>
        <w:t xml:space="preserve">, </w:t>
      </w:r>
      <w:proofErr w:type="spellStart"/>
      <w:r w:rsidRPr="00CB4323">
        <w:t>Irsyad</w:t>
      </w:r>
      <w:proofErr w:type="spellEnd"/>
      <w:r w:rsidRPr="00CB4323">
        <w:t xml:space="preserve"> </w:t>
      </w:r>
      <w:proofErr w:type="spellStart"/>
      <w:r w:rsidRPr="00CB4323">
        <w:t>Hikmahtulloh</w:t>
      </w:r>
      <w:proofErr w:type="spellEnd"/>
      <w:r w:rsidRPr="00CB4323">
        <w:t xml:space="preserve"> Harahap</w:t>
      </w:r>
      <w:r>
        <w:rPr>
          <w:vertAlign w:val="superscript"/>
        </w:rPr>
        <w:t>2</w:t>
      </w:r>
      <w:r>
        <w:t xml:space="preserve">, </w:t>
      </w:r>
    </w:p>
    <w:p w:rsidR="00CB4323" w:rsidRDefault="00CB4323" w:rsidP="00400188">
      <w:pPr>
        <w:spacing w:after="0" w:line="240" w:lineRule="auto"/>
        <w:ind w:left="45" w:firstLine="0"/>
        <w:jc w:val="center"/>
      </w:pPr>
      <w:proofErr w:type="spellStart"/>
      <w:r w:rsidRPr="00CB4323">
        <w:t>Dinda</w:t>
      </w:r>
      <w:proofErr w:type="spellEnd"/>
      <w:r w:rsidRPr="00CB4323">
        <w:t xml:space="preserve"> </w:t>
      </w:r>
      <w:proofErr w:type="spellStart"/>
      <w:r w:rsidRPr="00CB4323">
        <w:t>Pratiwi</w:t>
      </w:r>
      <w:proofErr w:type="spellEnd"/>
      <w:r w:rsidRPr="00CB4323">
        <w:t xml:space="preserve"> Matondang</w:t>
      </w:r>
      <w:r>
        <w:rPr>
          <w:vertAlign w:val="superscript"/>
        </w:rPr>
        <w:t>3</w:t>
      </w:r>
      <w:r>
        <w:t xml:space="preserve">, </w:t>
      </w:r>
      <w:proofErr w:type="spellStart"/>
      <w:r w:rsidRPr="00CB4323">
        <w:t>Nur</w:t>
      </w:r>
      <w:proofErr w:type="spellEnd"/>
      <w:r w:rsidRPr="00CB4323">
        <w:t xml:space="preserve"> pinasih</w:t>
      </w:r>
      <w:r>
        <w:rPr>
          <w:vertAlign w:val="superscript"/>
        </w:rPr>
        <w:t>4</w:t>
      </w:r>
    </w:p>
    <w:p w:rsidR="00CB4323" w:rsidRPr="00CB4323" w:rsidRDefault="00CB4323" w:rsidP="00400188">
      <w:pPr>
        <w:spacing w:after="0" w:line="240" w:lineRule="auto"/>
        <w:ind w:left="45" w:firstLine="0"/>
        <w:jc w:val="center"/>
      </w:pPr>
      <w:r w:rsidRPr="00CB4323">
        <w:rPr>
          <w:lang w:val="id-ID"/>
        </w:rPr>
        <w:t>UIN Syekh Ali Hasan Ahmad Addary Padangsidimpuan</w:t>
      </w:r>
      <w:r w:rsidRPr="00CB4323">
        <w:rPr>
          <w:vertAlign w:val="superscript"/>
        </w:rPr>
        <w:t>1,2,3,4</w:t>
      </w:r>
    </w:p>
    <w:p w:rsidR="00CB4323" w:rsidRPr="00CB4323" w:rsidRDefault="00CB4323" w:rsidP="00400188">
      <w:pPr>
        <w:tabs>
          <w:tab w:val="center" w:pos="3968"/>
          <w:tab w:val="left" w:pos="6010"/>
        </w:tabs>
        <w:spacing w:after="0" w:line="240" w:lineRule="auto"/>
        <w:jc w:val="center"/>
        <w:rPr>
          <w:rFonts w:eastAsia="Calibri"/>
          <w:b/>
          <w:i/>
          <w:color w:val="auto"/>
          <w:sz w:val="22"/>
          <w:vertAlign w:val="superscript"/>
        </w:rPr>
      </w:pPr>
      <w:r w:rsidRPr="00CB4323">
        <w:rPr>
          <w:rFonts w:eastAsia="Calibri"/>
          <w:i/>
          <w:color w:val="auto"/>
          <w:sz w:val="22"/>
        </w:rPr>
        <w:t xml:space="preserve">Email: </w:t>
      </w:r>
      <w:hyperlink r:id="rId7" w:history="1">
        <w:r w:rsidRPr="00CB4323">
          <w:rPr>
            <w:rStyle w:val="Hyperlink"/>
            <w:rFonts w:eastAsia="Calibri"/>
            <w:i/>
            <w:sz w:val="22"/>
          </w:rPr>
          <w:t>ahmadsaipulharahapharahap@gmail.com</w:t>
        </w:r>
        <w:r w:rsidRPr="00CB4323">
          <w:rPr>
            <w:rStyle w:val="Hyperlink"/>
            <w:rFonts w:eastAsia="Calibri"/>
            <w:i/>
            <w:sz w:val="22"/>
            <w:vertAlign w:val="superscript"/>
          </w:rPr>
          <w:t>1</w:t>
        </w:r>
      </w:hyperlink>
      <w:proofErr w:type="gramStart"/>
      <w:r w:rsidRPr="00CB4323">
        <w:rPr>
          <w:rFonts w:eastAsia="Calibri"/>
          <w:i/>
          <w:color w:val="auto"/>
          <w:sz w:val="22"/>
        </w:rPr>
        <w:t>,</w:t>
      </w:r>
      <w:r w:rsidRPr="00CB4323">
        <w:rPr>
          <w:rFonts w:eastAsia="Calibri"/>
          <w:i/>
          <w:color w:val="auto"/>
          <w:sz w:val="22"/>
          <w:vertAlign w:val="superscript"/>
        </w:rPr>
        <w:t xml:space="preserve"> </w:t>
      </w:r>
      <w:r w:rsidRPr="00CB4323">
        <w:rPr>
          <w:rFonts w:eastAsia="Calibri"/>
          <w:i/>
          <w:color w:val="auto"/>
          <w:sz w:val="22"/>
        </w:rPr>
        <w:t xml:space="preserve"> </w:t>
      </w:r>
      <w:proofErr w:type="gramEnd"/>
      <w:r w:rsidRPr="00CB4323">
        <w:rPr>
          <w:rFonts w:eastAsia="Calibri"/>
          <w:i/>
          <w:color w:val="auto"/>
          <w:sz w:val="22"/>
        </w:rPr>
        <w:fldChar w:fldCharType="begin"/>
      </w:r>
      <w:r w:rsidRPr="00CB4323">
        <w:rPr>
          <w:rFonts w:eastAsia="Calibri"/>
          <w:i/>
          <w:color w:val="auto"/>
          <w:sz w:val="22"/>
        </w:rPr>
        <w:instrText xml:space="preserve"> HYPERLINK "mailto:irsathikmahtullah@gmail.com</w:instrText>
      </w:r>
      <w:r w:rsidRPr="00CB4323">
        <w:rPr>
          <w:rFonts w:eastAsia="Calibri"/>
          <w:i/>
          <w:color w:val="auto"/>
          <w:sz w:val="22"/>
          <w:vertAlign w:val="superscript"/>
        </w:rPr>
        <w:instrText>2</w:instrText>
      </w:r>
      <w:r w:rsidRPr="00CB4323">
        <w:rPr>
          <w:rFonts w:eastAsia="Calibri"/>
          <w:i/>
          <w:color w:val="auto"/>
          <w:sz w:val="22"/>
        </w:rPr>
        <w:instrText xml:space="preserve">" </w:instrText>
      </w:r>
      <w:r w:rsidRPr="00CB4323">
        <w:rPr>
          <w:rFonts w:eastAsia="Calibri"/>
          <w:i/>
          <w:color w:val="auto"/>
          <w:sz w:val="22"/>
        </w:rPr>
        <w:fldChar w:fldCharType="separate"/>
      </w:r>
      <w:r w:rsidRPr="00CB4323">
        <w:rPr>
          <w:rStyle w:val="Hyperlink"/>
          <w:rFonts w:eastAsia="Calibri"/>
          <w:i/>
          <w:sz w:val="22"/>
        </w:rPr>
        <w:t>irsathikmahtullah@gmail.com</w:t>
      </w:r>
      <w:r w:rsidRPr="00CB4323">
        <w:rPr>
          <w:rStyle w:val="Hyperlink"/>
          <w:rFonts w:eastAsia="Calibri"/>
          <w:i/>
          <w:sz w:val="22"/>
          <w:vertAlign w:val="superscript"/>
        </w:rPr>
        <w:t>2</w:t>
      </w:r>
      <w:r w:rsidRPr="00CB4323">
        <w:rPr>
          <w:rFonts w:eastAsia="Calibri"/>
          <w:i/>
          <w:color w:val="auto"/>
          <w:sz w:val="22"/>
        </w:rPr>
        <w:fldChar w:fldCharType="end"/>
      </w:r>
      <w:r w:rsidRPr="00CB4323">
        <w:rPr>
          <w:b/>
        </w:rPr>
        <w:t xml:space="preserve"> </w:t>
      </w:r>
      <w:hyperlink r:id="rId8" w:history="1">
        <w:r w:rsidRPr="00CB4323">
          <w:rPr>
            <w:rStyle w:val="Hyperlink"/>
            <w:rFonts w:eastAsia="Calibri"/>
            <w:i/>
            <w:sz w:val="22"/>
          </w:rPr>
          <w:t>dindamtd150@gmail.com</w:t>
        </w:r>
        <w:r w:rsidRPr="00CB4323">
          <w:rPr>
            <w:rStyle w:val="Hyperlink"/>
            <w:rFonts w:eastAsia="Calibri"/>
            <w:i/>
            <w:sz w:val="22"/>
            <w:vertAlign w:val="superscript"/>
          </w:rPr>
          <w:t>3</w:t>
        </w:r>
      </w:hyperlink>
      <w:r>
        <w:rPr>
          <w:rFonts w:eastAsia="Calibri"/>
          <w:b/>
          <w:i/>
          <w:color w:val="auto"/>
          <w:sz w:val="22"/>
        </w:rPr>
        <w:t xml:space="preserve">, </w:t>
      </w:r>
      <w:r w:rsidRPr="00CB4323">
        <w:rPr>
          <w:rFonts w:eastAsia="Calibri"/>
          <w:b/>
          <w:i/>
          <w:color w:val="auto"/>
          <w:sz w:val="22"/>
          <w:vertAlign w:val="superscript"/>
        </w:rPr>
        <w:t xml:space="preserve"> </w:t>
      </w:r>
      <w:hyperlink r:id="rId9" w:history="1">
        <w:r w:rsidRPr="00CB4323">
          <w:rPr>
            <w:rStyle w:val="Hyperlink"/>
            <w:rFonts w:eastAsia="Calibri"/>
            <w:i/>
            <w:sz w:val="22"/>
          </w:rPr>
          <w:t>nurpinasih64@gmail.com</w:t>
        </w:r>
        <w:r w:rsidRPr="00CB4323">
          <w:rPr>
            <w:rStyle w:val="Hyperlink"/>
            <w:rFonts w:eastAsia="Calibri"/>
            <w:i/>
            <w:sz w:val="22"/>
            <w:vertAlign w:val="superscript"/>
          </w:rPr>
          <w:t>4</w:t>
        </w:r>
      </w:hyperlink>
      <w:r>
        <w:rPr>
          <w:rFonts w:eastAsia="Calibri"/>
          <w:b/>
          <w:i/>
          <w:color w:val="auto"/>
          <w:sz w:val="22"/>
          <w:vertAlign w:val="superscript"/>
        </w:rPr>
        <w:t xml:space="preserve"> </w:t>
      </w:r>
    </w:p>
    <w:p w:rsidR="00CB4323" w:rsidRPr="00CB4323" w:rsidRDefault="00CB4323" w:rsidP="00400188">
      <w:pPr>
        <w:tabs>
          <w:tab w:val="center" w:pos="3968"/>
          <w:tab w:val="left" w:pos="6010"/>
        </w:tabs>
        <w:spacing w:after="0" w:line="240" w:lineRule="auto"/>
        <w:jc w:val="center"/>
        <w:rPr>
          <w:rFonts w:eastAsia="Calibri"/>
          <w:b/>
          <w:i/>
          <w:color w:val="auto"/>
          <w:sz w:val="22"/>
        </w:rPr>
      </w:pPr>
    </w:p>
    <w:p w:rsidR="005C19BF" w:rsidRPr="00CB4323" w:rsidRDefault="00CB4323" w:rsidP="00400188">
      <w:pPr>
        <w:tabs>
          <w:tab w:val="center" w:pos="3968"/>
          <w:tab w:val="left" w:pos="6010"/>
        </w:tabs>
        <w:spacing w:after="0" w:line="240" w:lineRule="auto"/>
        <w:jc w:val="center"/>
        <w:rPr>
          <w:rFonts w:eastAsia="Calibri"/>
          <w:i/>
          <w:color w:val="auto"/>
          <w:sz w:val="22"/>
        </w:rPr>
      </w:pPr>
      <w:r w:rsidRPr="00CB4323">
        <w:rPr>
          <w:rFonts w:eastAsia="Calibri"/>
          <w:i/>
          <w:color w:val="auto"/>
          <w:sz w:val="22"/>
          <w:vertAlign w:val="superscript"/>
        </w:rPr>
        <w:t xml:space="preserve"> </w:t>
      </w:r>
    </w:p>
    <w:p w:rsidR="00625243" w:rsidRDefault="006C69E2" w:rsidP="00400188">
      <w:pPr>
        <w:spacing w:after="0" w:line="240" w:lineRule="auto"/>
        <w:ind w:left="0" w:firstLine="0"/>
        <w:jc w:val="center"/>
      </w:pPr>
      <w:r>
        <w:rPr>
          <w:b/>
          <w:sz w:val="22"/>
        </w:rPr>
        <w:t>Abstract</w:t>
      </w:r>
      <w:r>
        <w:t xml:space="preserve"> </w:t>
      </w:r>
    </w:p>
    <w:p w:rsidR="00CB4323" w:rsidRPr="00CB4323" w:rsidRDefault="00CB4323" w:rsidP="00400188">
      <w:pPr>
        <w:spacing w:after="0" w:line="240" w:lineRule="auto"/>
        <w:ind w:left="0" w:firstLine="0"/>
      </w:pPr>
      <w:r w:rsidRPr="00CB4323">
        <w:t xml:space="preserve">Hajj and </w:t>
      </w:r>
      <w:proofErr w:type="spellStart"/>
      <w:r w:rsidRPr="00CB4323">
        <w:t>Umrah</w:t>
      </w:r>
      <w:proofErr w:type="spellEnd"/>
      <w:r w:rsidRPr="00CB4323">
        <w:t xml:space="preserve"> guidance is a comprehensive educational and mentoring process designed to assist prospective pilgrims in understanding, learning, and performing the pilgrimage properly, with sincerity, and in a way that maximizes spiritual reward. This guidance plays a vital role in preventing common mistakes by providing clear and accurate knowledge of the proper rituals and procedures, helping pilgrims avoid errors that could diminish their rewards.</w:t>
      </w:r>
      <w:r>
        <w:t xml:space="preserve"> </w:t>
      </w:r>
      <w:r w:rsidRPr="00CB4323">
        <w:t>The ultimate goal of Hajj is to draw closer to Allah SWT and to attain purification from sin. Achieving this requires thorough preparation—beginning with spiritual readiness, selecting a trustworthy institution, saving consistently, increasing righteous deeds, and deepening one’s devotion to Allah SWT.</w:t>
      </w:r>
      <w:r>
        <w:t xml:space="preserve"> </w:t>
      </w:r>
      <w:r w:rsidRPr="00CB4323">
        <w:t xml:space="preserve">KBIHU </w:t>
      </w:r>
      <w:proofErr w:type="spellStart"/>
      <w:r w:rsidRPr="00CB4323">
        <w:t>Multazam</w:t>
      </w:r>
      <w:proofErr w:type="spellEnd"/>
      <w:r w:rsidRPr="00CB4323">
        <w:t xml:space="preserve"> </w:t>
      </w:r>
      <w:proofErr w:type="spellStart"/>
      <w:r w:rsidRPr="00CB4323">
        <w:t>Siti</w:t>
      </w:r>
      <w:proofErr w:type="spellEnd"/>
      <w:r w:rsidRPr="00CB4323">
        <w:t xml:space="preserve"> </w:t>
      </w:r>
      <w:proofErr w:type="spellStart"/>
      <w:r w:rsidRPr="00CB4323">
        <w:t>Khodijah</w:t>
      </w:r>
      <w:proofErr w:type="spellEnd"/>
      <w:r w:rsidRPr="00CB4323">
        <w:t xml:space="preserve">, located in Ujung </w:t>
      </w:r>
      <w:proofErr w:type="spellStart"/>
      <w:r w:rsidRPr="00CB4323">
        <w:t>Gurap</w:t>
      </w:r>
      <w:proofErr w:type="spellEnd"/>
      <w:r w:rsidRPr="00CB4323">
        <w:t xml:space="preserve"> Village, Padang </w:t>
      </w:r>
      <w:proofErr w:type="spellStart"/>
      <w:r w:rsidRPr="00CB4323">
        <w:t>Sidempuan</w:t>
      </w:r>
      <w:proofErr w:type="spellEnd"/>
      <w:r w:rsidRPr="00CB4323">
        <w:t xml:space="preserve"> </w:t>
      </w:r>
      <w:proofErr w:type="spellStart"/>
      <w:r w:rsidRPr="00CB4323">
        <w:t>Batunadua</w:t>
      </w:r>
      <w:proofErr w:type="spellEnd"/>
      <w:r w:rsidRPr="00CB4323">
        <w:t xml:space="preserve"> District, Padang </w:t>
      </w:r>
      <w:proofErr w:type="spellStart"/>
      <w:r w:rsidRPr="00CB4323">
        <w:t>Sidempuan</w:t>
      </w:r>
      <w:proofErr w:type="spellEnd"/>
      <w:r w:rsidRPr="00CB4323">
        <w:t xml:space="preserve"> City, offers such guidance. Here, pilgrims receive direct instruction from experienced </w:t>
      </w:r>
      <w:proofErr w:type="spellStart"/>
      <w:r w:rsidRPr="00CB4323">
        <w:rPr>
          <w:i/>
          <w:iCs/>
        </w:rPr>
        <w:t>ustadz</w:t>
      </w:r>
      <w:proofErr w:type="spellEnd"/>
      <w:r w:rsidRPr="00CB4323">
        <w:t xml:space="preserve"> in a well-equipped environment. Supported by donations from the congregation, benefactors, and other sources, KBIHU </w:t>
      </w:r>
      <w:proofErr w:type="spellStart"/>
      <w:r w:rsidRPr="00CB4323">
        <w:t>Multazam</w:t>
      </w:r>
      <w:proofErr w:type="spellEnd"/>
      <w:r w:rsidRPr="00CB4323">
        <w:t xml:space="preserve"> </w:t>
      </w:r>
      <w:proofErr w:type="spellStart"/>
      <w:r w:rsidRPr="00CB4323">
        <w:t>Siti</w:t>
      </w:r>
      <w:proofErr w:type="spellEnd"/>
      <w:r w:rsidRPr="00CB4323">
        <w:t xml:space="preserve"> </w:t>
      </w:r>
      <w:proofErr w:type="spellStart"/>
      <w:r w:rsidRPr="00CB4323">
        <w:t>Khodijah</w:t>
      </w:r>
      <w:proofErr w:type="spellEnd"/>
      <w:r w:rsidRPr="00CB4323">
        <w:t xml:space="preserve"> has established various replicas and miniature models that accurately represent the landmarks and conditions encountered during the Hajj and </w:t>
      </w:r>
      <w:proofErr w:type="spellStart"/>
      <w:r w:rsidRPr="00CB4323">
        <w:t>Umrah</w:t>
      </w:r>
      <w:proofErr w:type="spellEnd"/>
      <w:r w:rsidRPr="00CB4323">
        <w:t xml:space="preserve"> pilgrimages. These facilities greatly enhance the learning experience and help </w:t>
      </w:r>
      <w:proofErr w:type="gramStart"/>
      <w:r w:rsidRPr="00CB4323">
        <w:t>pilgrims</w:t>
      </w:r>
      <w:proofErr w:type="gramEnd"/>
      <w:r w:rsidRPr="00CB4323">
        <w:t xml:space="preserve"> gain practical understanding before their journey to the Holy Land.</w:t>
      </w:r>
    </w:p>
    <w:p w:rsidR="00CB4323" w:rsidRPr="00CB4323" w:rsidRDefault="006C69E2" w:rsidP="00400188">
      <w:pPr>
        <w:spacing w:after="0"/>
        <w:rPr>
          <w:i/>
          <w:iCs/>
          <w:color w:val="333333"/>
          <w:sz w:val="22"/>
        </w:rPr>
      </w:pPr>
      <w:r w:rsidRPr="009A27D1">
        <w:rPr>
          <w:i/>
          <w:sz w:val="22"/>
        </w:rPr>
        <w:t xml:space="preserve">Keyword: </w:t>
      </w:r>
      <w:r w:rsidR="00CB4323" w:rsidRPr="00223517">
        <w:rPr>
          <w:bCs/>
          <w:i/>
          <w:iCs/>
          <w:color w:val="333333"/>
          <w:sz w:val="22"/>
        </w:rPr>
        <w:t xml:space="preserve">Hajj and </w:t>
      </w:r>
      <w:proofErr w:type="spellStart"/>
      <w:r w:rsidR="00CB4323" w:rsidRPr="00223517">
        <w:rPr>
          <w:bCs/>
          <w:i/>
          <w:iCs/>
          <w:color w:val="333333"/>
          <w:sz w:val="22"/>
        </w:rPr>
        <w:t>Umrah</w:t>
      </w:r>
      <w:proofErr w:type="spellEnd"/>
      <w:r w:rsidR="00CB4323" w:rsidRPr="00223517">
        <w:rPr>
          <w:bCs/>
          <w:i/>
          <w:iCs/>
          <w:color w:val="333333"/>
          <w:sz w:val="22"/>
        </w:rPr>
        <w:t xml:space="preserve"> Guidance,</w:t>
      </w:r>
      <w:r w:rsidR="00CB4323" w:rsidRPr="00223517">
        <w:rPr>
          <w:i/>
          <w:iCs/>
          <w:color w:val="333333"/>
          <w:sz w:val="22"/>
        </w:rPr>
        <w:t xml:space="preserve"> </w:t>
      </w:r>
      <w:r w:rsidR="00CB4323" w:rsidRPr="00223517">
        <w:rPr>
          <w:bCs/>
          <w:i/>
          <w:iCs/>
          <w:color w:val="333333"/>
          <w:sz w:val="22"/>
        </w:rPr>
        <w:t>Religious Pilgrimage Optimization,</w:t>
      </w:r>
      <w:r w:rsidR="00223517" w:rsidRPr="00223517">
        <w:rPr>
          <w:bCs/>
          <w:i/>
          <w:iCs/>
          <w:color w:val="333333"/>
          <w:sz w:val="22"/>
        </w:rPr>
        <w:t xml:space="preserve"> </w:t>
      </w:r>
      <w:r w:rsidR="00CB4323" w:rsidRPr="00223517">
        <w:rPr>
          <w:bCs/>
          <w:i/>
          <w:iCs/>
          <w:color w:val="333333"/>
          <w:sz w:val="22"/>
        </w:rPr>
        <w:t xml:space="preserve">KBIHU </w:t>
      </w:r>
      <w:proofErr w:type="spellStart"/>
      <w:r w:rsidR="00CB4323" w:rsidRPr="00223517">
        <w:rPr>
          <w:bCs/>
          <w:i/>
          <w:iCs/>
          <w:color w:val="333333"/>
          <w:sz w:val="22"/>
        </w:rPr>
        <w:t>Multazam</w:t>
      </w:r>
      <w:proofErr w:type="spellEnd"/>
      <w:r w:rsidR="00CB4323" w:rsidRPr="00223517">
        <w:rPr>
          <w:bCs/>
          <w:i/>
          <w:iCs/>
          <w:color w:val="333333"/>
          <w:sz w:val="22"/>
        </w:rPr>
        <w:t xml:space="preserve"> </w:t>
      </w:r>
      <w:proofErr w:type="spellStart"/>
      <w:r w:rsidR="00CB4323" w:rsidRPr="00223517">
        <w:rPr>
          <w:bCs/>
          <w:i/>
          <w:iCs/>
          <w:color w:val="333333"/>
          <w:sz w:val="22"/>
        </w:rPr>
        <w:t>Siti</w:t>
      </w:r>
      <w:proofErr w:type="spellEnd"/>
      <w:r w:rsidR="00CB4323" w:rsidRPr="00223517">
        <w:rPr>
          <w:bCs/>
          <w:i/>
          <w:iCs/>
          <w:color w:val="333333"/>
          <w:sz w:val="22"/>
        </w:rPr>
        <w:t xml:space="preserve"> </w:t>
      </w:r>
      <w:proofErr w:type="spellStart"/>
      <w:r w:rsidR="00CB4323" w:rsidRPr="00223517">
        <w:rPr>
          <w:bCs/>
          <w:i/>
          <w:iCs/>
          <w:color w:val="333333"/>
          <w:sz w:val="22"/>
        </w:rPr>
        <w:t>Khodijah</w:t>
      </w:r>
      <w:proofErr w:type="spellEnd"/>
    </w:p>
    <w:p w:rsidR="005C19BF" w:rsidRDefault="005C19BF" w:rsidP="00400188">
      <w:pPr>
        <w:spacing w:after="0" w:line="240" w:lineRule="auto"/>
        <w:ind w:left="0" w:firstLine="0"/>
        <w:jc w:val="left"/>
        <w:rPr>
          <w:i/>
          <w:iCs/>
          <w:color w:val="333333"/>
          <w:sz w:val="22"/>
          <w:lang w:val="id-ID"/>
        </w:rPr>
      </w:pPr>
    </w:p>
    <w:p w:rsidR="00625243" w:rsidRDefault="006C69E2" w:rsidP="00400188">
      <w:pPr>
        <w:spacing w:after="0" w:line="240" w:lineRule="auto"/>
        <w:ind w:left="0" w:firstLine="0"/>
        <w:jc w:val="left"/>
      </w:pPr>
      <w:r>
        <w:rPr>
          <w:sz w:val="22"/>
        </w:rPr>
        <w:t xml:space="preserve">  </w:t>
      </w:r>
    </w:p>
    <w:p w:rsidR="00625243" w:rsidRPr="00223517" w:rsidRDefault="009A27D1" w:rsidP="00400188">
      <w:pPr>
        <w:pStyle w:val="Heading1"/>
        <w:spacing w:after="0" w:line="360" w:lineRule="auto"/>
        <w:rPr>
          <w:color w:val="auto"/>
        </w:rPr>
      </w:pPr>
      <w:r w:rsidRPr="00223517">
        <w:rPr>
          <w:color w:val="auto"/>
        </w:rPr>
        <w:t xml:space="preserve">INTRODUCTION </w:t>
      </w:r>
    </w:p>
    <w:p w:rsidR="00223517" w:rsidRPr="00223517" w:rsidRDefault="00223517" w:rsidP="00400188">
      <w:pPr>
        <w:spacing w:after="0" w:line="360" w:lineRule="auto"/>
        <w:ind w:firstLine="801"/>
        <w:rPr>
          <w:color w:val="auto"/>
        </w:rPr>
      </w:pPr>
      <w:r w:rsidRPr="00223517">
        <w:rPr>
          <w:color w:val="auto"/>
        </w:rPr>
        <w:t xml:space="preserve">Performing Hajj and </w:t>
      </w:r>
      <w:proofErr w:type="spellStart"/>
      <w:r w:rsidRPr="00223517">
        <w:rPr>
          <w:color w:val="auto"/>
        </w:rPr>
        <w:t>Umrah</w:t>
      </w:r>
      <w:proofErr w:type="spellEnd"/>
      <w:r w:rsidRPr="00223517">
        <w:rPr>
          <w:color w:val="auto"/>
        </w:rPr>
        <w:t xml:space="preserve"> is a deeply cherished aspiration for every Muslim. These sacred journeys demand thorough preparation—physically, mentally, and spiritually. In this </w:t>
      </w:r>
      <w:r w:rsidRPr="00223517">
        <w:rPr>
          <w:color w:val="auto"/>
        </w:rPr>
        <w:lastRenderedPageBreak/>
        <w:t xml:space="preserve">context, proper Hajj and </w:t>
      </w:r>
      <w:proofErr w:type="spellStart"/>
      <w:r w:rsidRPr="00223517">
        <w:rPr>
          <w:color w:val="auto"/>
        </w:rPr>
        <w:t>Umrah</w:t>
      </w:r>
      <w:proofErr w:type="spellEnd"/>
      <w:r w:rsidRPr="00223517">
        <w:rPr>
          <w:color w:val="auto"/>
        </w:rPr>
        <w:t xml:space="preserve"> guidance, or </w:t>
      </w:r>
      <w:proofErr w:type="spellStart"/>
      <w:r w:rsidRPr="00223517">
        <w:rPr>
          <w:i/>
          <w:iCs/>
          <w:color w:val="auto"/>
        </w:rPr>
        <w:t>manasik</w:t>
      </w:r>
      <w:proofErr w:type="spellEnd"/>
      <w:r w:rsidRPr="00223517">
        <w:rPr>
          <w:color w:val="auto"/>
        </w:rPr>
        <w:t>, plays a crucial role. It serves not only as a preparatory phase but also as a practical and spiritual solution to ensure that pilgrims fulfill their religious obligations correctly, meaningfully, and with full devotion.</w:t>
      </w:r>
    </w:p>
    <w:p w:rsidR="00223517" w:rsidRPr="00223517" w:rsidRDefault="00223517" w:rsidP="00400188">
      <w:pPr>
        <w:spacing w:after="0" w:line="360" w:lineRule="auto"/>
        <w:ind w:firstLine="801"/>
        <w:rPr>
          <w:color w:val="auto"/>
        </w:rPr>
      </w:pPr>
      <w:r w:rsidRPr="00223517">
        <w:rPr>
          <w:color w:val="auto"/>
        </w:rPr>
        <w:t xml:space="preserve">Socially, the increasing number of prospective pilgrims, particularly in Indonesia, has highlighted the importance of structured and effective Hajj and </w:t>
      </w:r>
      <w:proofErr w:type="spellStart"/>
      <w:r w:rsidRPr="00223517">
        <w:rPr>
          <w:color w:val="auto"/>
        </w:rPr>
        <w:t>Umrah</w:t>
      </w:r>
      <w:proofErr w:type="spellEnd"/>
      <w:r w:rsidRPr="00223517">
        <w:rPr>
          <w:color w:val="auto"/>
        </w:rPr>
        <w:t xml:space="preserve"> guidance. Many pilgrims lack sufficient understanding of the rites and rituals, resulting in errors during pilgrimage that may affect the validity and spiritual value of their worship. Therefore, structured guidance through certified institutions becomes essential in helping pilgrims navigate the complexities of the pilgrimage journey.</w:t>
      </w:r>
    </w:p>
    <w:p w:rsidR="00223517" w:rsidRPr="00223517" w:rsidRDefault="00223517" w:rsidP="00400188">
      <w:pPr>
        <w:spacing w:after="0" w:line="360" w:lineRule="auto"/>
        <w:ind w:firstLine="801"/>
        <w:rPr>
          <w:color w:val="auto"/>
        </w:rPr>
      </w:pPr>
      <w:r w:rsidRPr="00223517">
        <w:rPr>
          <w:color w:val="auto"/>
        </w:rPr>
        <w:t xml:space="preserve">From a literature perspective, many previous studies—both nationally and internationally—have explored the significance of Hajj and </w:t>
      </w:r>
      <w:proofErr w:type="spellStart"/>
      <w:r w:rsidRPr="00223517">
        <w:rPr>
          <w:color w:val="auto"/>
        </w:rPr>
        <w:t>Umrah</w:t>
      </w:r>
      <w:proofErr w:type="spellEnd"/>
      <w:r w:rsidRPr="00223517">
        <w:rPr>
          <w:color w:val="auto"/>
        </w:rPr>
        <w:t xml:space="preserve"> education in enhancing the quality of religious experiences. However, most of these studies focus on general theoretical frameworks or governmental policy aspects. There remains a limited amount of empirical research examining specific, localized, community-based guidance institutions and their direct impact on pilgrims’ preparation and performance. This creates a research gap that this study seeks to address.</w:t>
      </w:r>
    </w:p>
    <w:p w:rsidR="00223517" w:rsidRPr="00223517" w:rsidRDefault="00223517" w:rsidP="00400188">
      <w:pPr>
        <w:spacing w:after="0" w:line="360" w:lineRule="auto"/>
        <w:ind w:firstLine="801"/>
        <w:rPr>
          <w:color w:val="auto"/>
        </w:rPr>
      </w:pPr>
      <w:r w:rsidRPr="00223517">
        <w:rPr>
          <w:color w:val="auto"/>
        </w:rPr>
        <w:t xml:space="preserve">The main purpose of this study is to explore how Hajj and </w:t>
      </w:r>
      <w:proofErr w:type="spellStart"/>
      <w:r w:rsidRPr="00223517">
        <w:rPr>
          <w:color w:val="auto"/>
        </w:rPr>
        <w:t>Umrah</w:t>
      </w:r>
      <w:proofErr w:type="spellEnd"/>
      <w:r w:rsidRPr="00223517">
        <w:rPr>
          <w:color w:val="auto"/>
        </w:rPr>
        <w:t xml:space="preserve"> guidance provided by </w:t>
      </w:r>
      <w:r w:rsidRPr="00223517">
        <w:rPr>
          <w:bCs/>
          <w:color w:val="auto"/>
        </w:rPr>
        <w:t xml:space="preserve">KBIHU </w:t>
      </w:r>
      <w:proofErr w:type="spellStart"/>
      <w:r w:rsidRPr="00223517">
        <w:rPr>
          <w:bCs/>
          <w:color w:val="auto"/>
        </w:rPr>
        <w:t>Multazam</w:t>
      </w:r>
      <w:proofErr w:type="spellEnd"/>
      <w:r w:rsidRPr="00223517">
        <w:rPr>
          <w:bCs/>
          <w:color w:val="auto"/>
        </w:rPr>
        <w:t xml:space="preserve"> </w:t>
      </w:r>
      <w:proofErr w:type="spellStart"/>
      <w:r w:rsidRPr="00223517">
        <w:rPr>
          <w:bCs/>
          <w:color w:val="auto"/>
        </w:rPr>
        <w:t>Siti</w:t>
      </w:r>
      <w:proofErr w:type="spellEnd"/>
      <w:r w:rsidRPr="00223517">
        <w:rPr>
          <w:bCs/>
          <w:color w:val="auto"/>
        </w:rPr>
        <w:t xml:space="preserve"> </w:t>
      </w:r>
      <w:proofErr w:type="spellStart"/>
      <w:r w:rsidRPr="00223517">
        <w:rPr>
          <w:bCs/>
          <w:color w:val="auto"/>
        </w:rPr>
        <w:t>Khodijah</w:t>
      </w:r>
      <w:proofErr w:type="spellEnd"/>
      <w:r w:rsidRPr="00223517">
        <w:rPr>
          <w:color w:val="auto"/>
        </w:rPr>
        <w:t xml:space="preserve"> serves as an effective and practical solution for pilgrims preparing to undertake this sacred journey. Specifically, the research investigates the institution’s unique advantages, the comprehensiveness of its guidance programs, and the trust it fosters among the community.</w:t>
      </w:r>
    </w:p>
    <w:p w:rsidR="00223517" w:rsidRPr="00223517" w:rsidRDefault="00223517" w:rsidP="00400188">
      <w:pPr>
        <w:spacing w:after="0" w:line="360" w:lineRule="auto"/>
        <w:ind w:firstLine="801"/>
        <w:rPr>
          <w:color w:val="auto"/>
        </w:rPr>
      </w:pPr>
      <w:r w:rsidRPr="00223517">
        <w:rPr>
          <w:color w:val="auto"/>
        </w:rPr>
        <w:t xml:space="preserve">As a preliminary argument, this study proposes that </w:t>
      </w:r>
      <w:r w:rsidRPr="00223517">
        <w:rPr>
          <w:bCs/>
          <w:color w:val="auto"/>
        </w:rPr>
        <w:t xml:space="preserve">KBIHU </w:t>
      </w:r>
      <w:proofErr w:type="spellStart"/>
      <w:r w:rsidRPr="00223517">
        <w:rPr>
          <w:bCs/>
          <w:color w:val="auto"/>
        </w:rPr>
        <w:t>Multazam</w:t>
      </w:r>
      <w:proofErr w:type="spellEnd"/>
      <w:r w:rsidRPr="00223517">
        <w:rPr>
          <w:bCs/>
          <w:color w:val="auto"/>
        </w:rPr>
        <w:t xml:space="preserve"> </w:t>
      </w:r>
      <w:proofErr w:type="spellStart"/>
      <w:r w:rsidRPr="00223517">
        <w:rPr>
          <w:bCs/>
          <w:color w:val="auto"/>
        </w:rPr>
        <w:t>Siti</w:t>
      </w:r>
      <w:proofErr w:type="spellEnd"/>
      <w:r w:rsidRPr="00223517">
        <w:rPr>
          <w:bCs/>
          <w:color w:val="auto"/>
        </w:rPr>
        <w:t xml:space="preserve"> </w:t>
      </w:r>
      <w:proofErr w:type="spellStart"/>
      <w:r w:rsidRPr="00223517">
        <w:rPr>
          <w:bCs/>
          <w:color w:val="auto"/>
        </w:rPr>
        <w:t>Khodijah</w:t>
      </w:r>
      <w:proofErr w:type="spellEnd"/>
      <w:r w:rsidRPr="00223517">
        <w:rPr>
          <w:color w:val="auto"/>
        </w:rPr>
        <w:t xml:space="preserve"> presents an innovative model of localized pilgrimage education. It not only addresses the technical aspects of Hajj and </w:t>
      </w:r>
      <w:proofErr w:type="spellStart"/>
      <w:r w:rsidRPr="00223517">
        <w:rPr>
          <w:color w:val="auto"/>
        </w:rPr>
        <w:t>Umrah</w:t>
      </w:r>
      <w:proofErr w:type="spellEnd"/>
      <w:r w:rsidRPr="00223517">
        <w:rPr>
          <w:color w:val="auto"/>
        </w:rPr>
        <w:t xml:space="preserve"> rituals but also integrates spiritual preparation, financial planning, and social bonding among pilgrims. The institution offers certified guidance under the Ministry of Religious Affairs of the Republic of Indonesia (Decree No. 1085 of 2015), which ensures the quality and legality of its services.</w:t>
      </w:r>
    </w:p>
    <w:p w:rsidR="00223517" w:rsidRPr="00223517" w:rsidRDefault="00223517" w:rsidP="00400188">
      <w:pPr>
        <w:spacing w:after="0" w:line="360" w:lineRule="auto"/>
        <w:ind w:firstLine="801"/>
        <w:rPr>
          <w:color w:val="auto"/>
        </w:rPr>
      </w:pPr>
      <w:r w:rsidRPr="00223517">
        <w:rPr>
          <w:color w:val="auto"/>
        </w:rPr>
        <w:lastRenderedPageBreak/>
        <w:t xml:space="preserve">This guidance includes practical and experiential learning through replicas of sacred sites such as the </w:t>
      </w:r>
      <w:proofErr w:type="spellStart"/>
      <w:r w:rsidRPr="00223517">
        <w:rPr>
          <w:color w:val="auto"/>
        </w:rPr>
        <w:t>Kaaba</w:t>
      </w:r>
      <w:proofErr w:type="spellEnd"/>
      <w:r w:rsidRPr="00223517">
        <w:rPr>
          <w:color w:val="auto"/>
        </w:rPr>
        <w:t xml:space="preserve"> dome, </w:t>
      </w:r>
      <w:proofErr w:type="spellStart"/>
      <w:r w:rsidRPr="00223517">
        <w:rPr>
          <w:color w:val="auto"/>
        </w:rPr>
        <w:t>Safa</w:t>
      </w:r>
      <w:proofErr w:type="spellEnd"/>
      <w:r w:rsidRPr="00223517">
        <w:rPr>
          <w:color w:val="auto"/>
        </w:rPr>
        <w:t xml:space="preserve"> and </w:t>
      </w:r>
      <w:proofErr w:type="spellStart"/>
      <w:r w:rsidRPr="00223517">
        <w:rPr>
          <w:color w:val="auto"/>
        </w:rPr>
        <w:t>Marwah</w:t>
      </w:r>
      <w:proofErr w:type="spellEnd"/>
      <w:r w:rsidRPr="00223517">
        <w:rPr>
          <w:color w:val="auto"/>
        </w:rPr>
        <w:t xml:space="preserve"> hills, Mina, and designated lodging simulations. Furthermore, the institution offers various affordable packages—such as 12- to 13-day </w:t>
      </w:r>
      <w:proofErr w:type="spellStart"/>
      <w:r w:rsidRPr="00223517">
        <w:rPr>
          <w:color w:val="auto"/>
        </w:rPr>
        <w:t>Umrah</w:t>
      </w:r>
      <w:proofErr w:type="spellEnd"/>
      <w:r w:rsidRPr="00223517">
        <w:rPr>
          <w:color w:val="auto"/>
        </w:rPr>
        <w:t xml:space="preserve"> trips, </w:t>
      </w:r>
      <w:proofErr w:type="spellStart"/>
      <w:r w:rsidRPr="00223517">
        <w:rPr>
          <w:color w:val="auto"/>
        </w:rPr>
        <w:t>Arbain</w:t>
      </w:r>
      <w:proofErr w:type="spellEnd"/>
      <w:r w:rsidRPr="00223517">
        <w:rPr>
          <w:color w:val="auto"/>
        </w:rPr>
        <w:t xml:space="preserve"> packages, Ramadan </w:t>
      </w:r>
      <w:proofErr w:type="spellStart"/>
      <w:r w:rsidRPr="00223517">
        <w:rPr>
          <w:color w:val="auto"/>
        </w:rPr>
        <w:t>Umrah</w:t>
      </w:r>
      <w:proofErr w:type="spellEnd"/>
      <w:r w:rsidRPr="00223517">
        <w:rPr>
          <w:color w:val="auto"/>
        </w:rPr>
        <w:t xml:space="preserve">, and extended </w:t>
      </w:r>
      <w:proofErr w:type="spellStart"/>
      <w:r w:rsidRPr="00223517">
        <w:rPr>
          <w:color w:val="auto"/>
        </w:rPr>
        <w:t>Umrah</w:t>
      </w:r>
      <w:proofErr w:type="spellEnd"/>
      <w:r w:rsidRPr="00223517">
        <w:rPr>
          <w:color w:val="auto"/>
        </w:rPr>
        <w:t xml:space="preserve"> plus tours—all accompanied by administrative and spiritual support from Indonesia to the Holy Land.</w:t>
      </w:r>
    </w:p>
    <w:p w:rsidR="00223517" w:rsidRPr="00223517" w:rsidRDefault="00223517" w:rsidP="00400188">
      <w:pPr>
        <w:spacing w:after="0" w:line="360" w:lineRule="auto"/>
        <w:ind w:firstLine="801"/>
        <w:rPr>
          <w:color w:val="auto"/>
        </w:rPr>
      </w:pPr>
      <w:r w:rsidRPr="00223517">
        <w:rPr>
          <w:color w:val="auto"/>
        </w:rPr>
        <w:t xml:space="preserve">KBIHU </w:t>
      </w:r>
      <w:proofErr w:type="spellStart"/>
      <w:r w:rsidRPr="00223517">
        <w:rPr>
          <w:color w:val="auto"/>
        </w:rPr>
        <w:t>Multazam</w:t>
      </w:r>
      <w:proofErr w:type="spellEnd"/>
      <w:r w:rsidRPr="00223517">
        <w:rPr>
          <w:color w:val="auto"/>
        </w:rPr>
        <w:t xml:space="preserve"> </w:t>
      </w:r>
      <w:proofErr w:type="spellStart"/>
      <w:r w:rsidRPr="00223517">
        <w:rPr>
          <w:color w:val="auto"/>
        </w:rPr>
        <w:t>Siti</w:t>
      </w:r>
      <w:proofErr w:type="spellEnd"/>
      <w:r w:rsidRPr="00223517">
        <w:rPr>
          <w:color w:val="auto"/>
        </w:rPr>
        <w:t xml:space="preserve"> </w:t>
      </w:r>
      <w:proofErr w:type="spellStart"/>
      <w:r w:rsidRPr="00223517">
        <w:rPr>
          <w:color w:val="auto"/>
        </w:rPr>
        <w:t>Khodijah</w:t>
      </w:r>
      <w:proofErr w:type="spellEnd"/>
      <w:r w:rsidRPr="00223517">
        <w:rPr>
          <w:color w:val="auto"/>
        </w:rPr>
        <w:t xml:space="preserve"> has become a trusted and holistic solution for prospective pilgrims, helping them understand the religious, historical, and spiritual dimensions of the pilgrimage. It also enhances pilgrims' mental and physical preparedness, builds social solidarity, and ultimately improves the overall quality of the worship experience. The institution’s methods have proven effective over the years and can serve as a model for similar programs elsewhere.</w:t>
      </w:r>
    </w:p>
    <w:p w:rsidR="00223517" w:rsidRPr="00223517" w:rsidRDefault="00223517" w:rsidP="00400188">
      <w:pPr>
        <w:spacing w:after="0" w:line="360" w:lineRule="auto"/>
        <w:ind w:firstLine="801"/>
        <w:rPr>
          <w:color w:val="FF0000"/>
        </w:rPr>
      </w:pPr>
      <w:r w:rsidRPr="00223517">
        <w:rPr>
          <w:color w:val="auto"/>
        </w:rPr>
        <w:t xml:space="preserve">The novelty of this study lies in its focus on a specific, well-established Hajj and </w:t>
      </w:r>
      <w:proofErr w:type="spellStart"/>
      <w:r w:rsidRPr="00223517">
        <w:rPr>
          <w:color w:val="auto"/>
        </w:rPr>
        <w:t>Umrah</w:t>
      </w:r>
      <w:proofErr w:type="spellEnd"/>
      <w:r w:rsidRPr="00223517">
        <w:rPr>
          <w:color w:val="auto"/>
        </w:rPr>
        <w:t xml:space="preserve"> guidance institution in a regional context—</w:t>
      </w:r>
      <w:r w:rsidRPr="00223517">
        <w:rPr>
          <w:bCs/>
          <w:color w:val="auto"/>
        </w:rPr>
        <w:t xml:space="preserve">Ujung </w:t>
      </w:r>
      <w:proofErr w:type="spellStart"/>
      <w:r w:rsidRPr="00223517">
        <w:rPr>
          <w:bCs/>
          <w:color w:val="auto"/>
        </w:rPr>
        <w:t>Gurap</w:t>
      </w:r>
      <w:proofErr w:type="spellEnd"/>
      <w:r w:rsidRPr="00223517">
        <w:rPr>
          <w:bCs/>
          <w:color w:val="auto"/>
        </w:rPr>
        <w:t xml:space="preserve">, Padang </w:t>
      </w:r>
      <w:proofErr w:type="spellStart"/>
      <w:r w:rsidRPr="00223517">
        <w:rPr>
          <w:bCs/>
          <w:color w:val="auto"/>
        </w:rPr>
        <w:t>Sidempuan</w:t>
      </w:r>
      <w:proofErr w:type="spellEnd"/>
      <w:r w:rsidRPr="00223517">
        <w:rPr>
          <w:color w:val="auto"/>
        </w:rPr>
        <w:t xml:space="preserve">—which has not yet been explored extensively in the academic literature. By examining this case, the study aims to provide both theoretical and practical insights into how community-based religious guidance can optimize the Hajj and </w:t>
      </w:r>
      <w:proofErr w:type="spellStart"/>
      <w:r w:rsidRPr="00223517">
        <w:rPr>
          <w:color w:val="auto"/>
        </w:rPr>
        <w:t>Umrah</w:t>
      </w:r>
      <w:proofErr w:type="spellEnd"/>
      <w:r w:rsidRPr="00223517">
        <w:rPr>
          <w:color w:val="auto"/>
        </w:rPr>
        <w:t xml:space="preserve"> experience for Indonesian Muslims</w:t>
      </w:r>
      <w:r w:rsidRPr="00223517">
        <w:rPr>
          <w:color w:val="FF0000"/>
        </w:rPr>
        <w:t>.</w:t>
      </w:r>
    </w:p>
    <w:p w:rsidR="00572E10" w:rsidRPr="00CB4323" w:rsidRDefault="00572E10" w:rsidP="00400188">
      <w:pPr>
        <w:spacing w:after="0" w:line="360" w:lineRule="auto"/>
        <w:ind w:hanging="9"/>
        <w:rPr>
          <w:color w:val="FF0000"/>
        </w:rPr>
      </w:pPr>
    </w:p>
    <w:p w:rsidR="00572E10" w:rsidRPr="00EE7C0D" w:rsidRDefault="009A27D1" w:rsidP="00400188">
      <w:pPr>
        <w:spacing w:after="0" w:line="360" w:lineRule="auto"/>
        <w:ind w:hanging="9"/>
        <w:rPr>
          <w:b/>
          <w:color w:val="auto"/>
        </w:rPr>
      </w:pPr>
      <w:r w:rsidRPr="00EE7C0D">
        <w:rPr>
          <w:b/>
          <w:color w:val="auto"/>
        </w:rPr>
        <w:t xml:space="preserve">METHOD </w:t>
      </w:r>
    </w:p>
    <w:p w:rsidR="00223517" w:rsidRPr="00223517" w:rsidRDefault="00223517" w:rsidP="00400188">
      <w:pPr>
        <w:spacing w:after="0" w:line="360" w:lineRule="auto"/>
        <w:ind w:firstLine="711"/>
        <w:rPr>
          <w:color w:val="auto"/>
        </w:rPr>
      </w:pPr>
      <w:proofErr w:type="gramStart"/>
      <w:r w:rsidRPr="00223517">
        <w:rPr>
          <w:color w:val="auto"/>
        </w:rPr>
        <w:t>his</w:t>
      </w:r>
      <w:proofErr w:type="gramEnd"/>
      <w:r w:rsidRPr="00223517">
        <w:rPr>
          <w:color w:val="auto"/>
        </w:rPr>
        <w:t xml:space="preserve"> research employs a descriptive qualitative methodology, a commonly adopted approach in social science disciplines, particularly in the study of Islamic </w:t>
      </w:r>
      <w:proofErr w:type="spellStart"/>
      <w:r w:rsidRPr="00223517">
        <w:rPr>
          <w:color w:val="auto"/>
        </w:rPr>
        <w:t>da'wah</w:t>
      </w:r>
      <w:proofErr w:type="spellEnd"/>
      <w:r w:rsidRPr="00223517">
        <w:rPr>
          <w:color w:val="auto"/>
        </w:rPr>
        <w:t xml:space="preserve"> management. The purpose of this method is to provide a thorough and nuanced understanding of a specific phenomenon within its natural setting, rather than aiming for broad generalizations. The choice of this design is appropriate for examining the implementation and impact of Hajj and </w:t>
      </w:r>
      <w:proofErr w:type="spellStart"/>
      <w:r w:rsidRPr="00223517">
        <w:rPr>
          <w:color w:val="auto"/>
        </w:rPr>
        <w:t>Umrah</w:t>
      </w:r>
      <w:proofErr w:type="spellEnd"/>
      <w:r w:rsidRPr="00223517">
        <w:rPr>
          <w:color w:val="auto"/>
        </w:rPr>
        <w:t xml:space="preserve"> guidance at KBIHU </w:t>
      </w:r>
      <w:proofErr w:type="spellStart"/>
      <w:r w:rsidRPr="00223517">
        <w:rPr>
          <w:color w:val="auto"/>
        </w:rPr>
        <w:t>Multazam</w:t>
      </w:r>
      <w:proofErr w:type="spellEnd"/>
      <w:r w:rsidRPr="00223517">
        <w:rPr>
          <w:color w:val="auto"/>
        </w:rPr>
        <w:t xml:space="preserve"> </w:t>
      </w:r>
      <w:proofErr w:type="spellStart"/>
      <w:r w:rsidRPr="00223517">
        <w:rPr>
          <w:color w:val="auto"/>
        </w:rPr>
        <w:t>Siti</w:t>
      </w:r>
      <w:proofErr w:type="spellEnd"/>
      <w:r w:rsidRPr="00223517">
        <w:rPr>
          <w:color w:val="auto"/>
        </w:rPr>
        <w:t xml:space="preserve"> </w:t>
      </w:r>
      <w:proofErr w:type="spellStart"/>
      <w:r w:rsidRPr="00223517">
        <w:rPr>
          <w:color w:val="auto"/>
        </w:rPr>
        <w:t>Khodijah</w:t>
      </w:r>
      <w:proofErr w:type="spellEnd"/>
      <w:r w:rsidRPr="00223517">
        <w:rPr>
          <w:color w:val="auto"/>
        </w:rPr>
        <w:t>, as it facilitates the exploration of participants’ experiences, behaviors, and viewpoints in depth.</w:t>
      </w:r>
    </w:p>
    <w:p w:rsidR="00223517" w:rsidRPr="00223517" w:rsidRDefault="00223517" w:rsidP="00400188">
      <w:pPr>
        <w:spacing w:after="0" w:line="360" w:lineRule="auto"/>
        <w:ind w:firstLine="711"/>
        <w:rPr>
          <w:color w:val="auto"/>
        </w:rPr>
      </w:pPr>
      <w:r w:rsidRPr="00223517">
        <w:rPr>
          <w:color w:val="auto"/>
        </w:rPr>
        <w:t>The target population of the study comprises all individuals involved in the guidance program, including religious instructors (</w:t>
      </w:r>
      <w:proofErr w:type="spellStart"/>
      <w:r w:rsidRPr="00223517">
        <w:rPr>
          <w:i/>
          <w:iCs/>
          <w:color w:val="auto"/>
        </w:rPr>
        <w:t>ustadz</w:t>
      </w:r>
      <w:proofErr w:type="spellEnd"/>
      <w:r w:rsidRPr="00223517">
        <w:rPr>
          <w:color w:val="auto"/>
        </w:rPr>
        <w:t xml:space="preserve">), organizational staff, and pilgrims receiving the training. A purposive sampling technique was applied to ensure the inclusion of participants with </w:t>
      </w:r>
      <w:r w:rsidRPr="00223517">
        <w:rPr>
          <w:color w:val="auto"/>
        </w:rPr>
        <w:lastRenderedPageBreak/>
        <w:t>relevant experience and insight into the guidance process. This technique allows researchers to focus on information-rich sources. The sample size was determined by the concept of data saturation—data collection ceased when no new significant information emerged during interviews.</w:t>
      </w:r>
    </w:p>
    <w:p w:rsidR="00223517" w:rsidRPr="00223517" w:rsidRDefault="00223517" w:rsidP="00400188">
      <w:pPr>
        <w:spacing w:after="0" w:line="360" w:lineRule="auto"/>
        <w:ind w:firstLine="711"/>
        <w:rPr>
          <w:color w:val="auto"/>
        </w:rPr>
      </w:pPr>
      <w:r w:rsidRPr="00223517">
        <w:rPr>
          <w:color w:val="auto"/>
        </w:rPr>
        <w:t xml:space="preserve">Data collection involved multiple instruments, such as semi-structured interviews, participant observation, and document analysis. Observations were conducted during </w:t>
      </w:r>
      <w:proofErr w:type="spellStart"/>
      <w:r w:rsidRPr="00223517">
        <w:rPr>
          <w:i/>
          <w:iCs/>
          <w:color w:val="auto"/>
        </w:rPr>
        <w:t>manasik</w:t>
      </w:r>
      <w:proofErr w:type="spellEnd"/>
      <w:r w:rsidRPr="00223517">
        <w:rPr>
          <w:color w:val="auto"/>
        </w:rPr>
        <w:t xml:space="preserve"> sessions to capture practical teaching moments, while relevant documents—such as training schedules and materials—were reviewed to reinforce the findings. The study proceeded in structured stages: preparation (including site selection and tool development), data gathering, and data analysis. Thematic analysis was employed to process the data, involving the identification and interpretation of key themes. This method enabled a systematic coding process, allowing the researchers to categorize findings and present a coherent, credible narrative aligned with the research objectives.</w:t>
      </w:r>
    </w:p>
    <w:p w:rsidR="00572E10" w:rsidRPr="00CB4323" w:rsidRDefault="00572E10" w:rsidP="00400188">
      <w:pPr>
        <w:spacing w:after="0" w:line="360" w:lineRule="auto"/>
        <w:ind w:firstLine="711"/>
        <w:rPr>
          <w:color w:val="FF0000"/>
        </w:rPr>
      </w:pPr>
      <w:r w:rsidRPr="00CB4323">
        <w:rPr>
          <w:color w:val="FF0000"/>
        </w:rPr>
        <w:t xml:space="preserve">. </w:t>
      </w:r>
    </w:p>
    <w:p w:rsidR="00625243" w:rsidRPr="00EE7C0D" w:rsidRDefault="009A27D1" w:rsidP="00400188">
      <w:pPr>
        <w:pStyle w:val="Heading1"/>
        <w:spacing w:after="0" w:line="360" w:lineRule="auto"/>
        <w:rPr>
          <w:color w:val="auto"/>
        </w:rPr>
      </w:pPr>
      <w:r w:rsidRPr="00EE7C0D">
        <w:rPr>
          <w:color w:val="auto"/>
        </w:rPr>
        <w:t>RESULT AND DISCUSSION</w:t>
      </w:r>
      <w:r w:rsidRPr="00EE7C0D">
        <w:rPr>
          <w:b w:val="0"/>
          <w:color w:val="auto"/>
        </w:rPr>
        <w:t xml:space="preserve"> </w:t>
      </w:r>
    </w:p>
    <w:p w:rsidR="00EE7C0D" w:rsidRPr="00EE7C0D" w:rsidRDefault="00EE7C0D" w:rsidP="00400188">
      <w:pPr>
        <w:spacing w:after="0" w:line="360" w:lineRule="auto"/>
        <w:ind w:hanging="9"/>
        <w:jc w:val="left"/>
        <w:rPr>
          <w:b/>
          <w:bCs/>
          <w:color w:val="auto"/>
        </w:rPr>
      </w:pPr>
      <w:r w:rsidRPr="00EE7C0D">
        <w:rPr>
          <w:b/>
          <w:bCs/>
          <w:color w:val="auto"/>
        </w:rPr>
        <w:t>The Strategic Role of KBIHU in Pilgrimage Preparation</w:t>
      </w:r>
    </w:p>
    <w:p w:rsidR="00EE7C0D" w:rsidRPr="00EE7C0D" w:rsidRDefault="00EE7C0D" w:rsidP="00400188">
      <w:pPr>
        <w:spacing w:after="0" w:line="360" w:lineRule="auto"/>
        <w:ind w:left="0" w:firstLine="810"/>
        <w:rPr>
          <w:bCs/>
          <w:color w:val="auto"/>
        </w:rPr>
      </w:pPr>
      <w:r w:rsidRPr="00EE7C0D">
        <w:rPr>
          <w:bCs/>
          <w:color w:val="auto"/>
        </w:rPr>
        <w:t xml:space="preserve">From the perspective of religious readiness, KBIHU </w:t>
      </w:r>
      <w:proofErr w:type="spellStart"/>
      <w:r w:rsidRPr="00EE7C0D">
        <w:rPr>
          <w:bCs/>
          <w:color w:val="auto"/>
        </w:rPr>
        <w:t>Multazam</w:t>
      </w:r>
      <w:proofErr w:type="spellEnd"/>
      <w:r w:rsidRPr="00EE7C0D">
        <w:rPr>
          <w:bCs/>
          <w:color w:val="auto"/>
        </w:rPr>
        <w:t xml:space="preserve"> </w:t>
      </w:r>
      <w:proofErr w:type="spellStart"/>
      <w:r w:rsidRPr="00EE7C0D">
        <w:rPr>
          <w:bCs/>
          <w:color w:val="auto"/>
        </w:rPr>
        <w:t>Siti</w:t>
      </w:r>
      <w:proofErr w:type="spellEnd"/>
      <w:r w:rsidRPr="00EE7C0D">
        <w:rPr>
          <w:bCs/>
          <w:color w:val="auto"/>
        </w:rPr>
        <w:t xml:space="preserve"> </w:t>
      </w:r>
      <w:proofErr w:type="spellStart"/>
      <w:r w:rsidRPr="00EE7C0D">
        <w:rPr>
          <w:bCs/>
          <w:color w:val="auto"/>
        </w:rPr>
        <w:t>Khodijah</w:t>
      </w:r>
      <w:proofErr w:type="spellEnd"/>
      <w:r w:rsidRPr="00EE7C0D">
        <w:rPr>
          <w:bCs/>
          <w:color w:val="auto"/>
        </w:rPr>
        <w:t xml:space="preserve"> plays a strategic and multidimensional role in equipping prospective pilgrims for the sacred journey of Hajj and </w:t>
      </w:r>
      <w:proofErr w:type="spellStart"/>
      <w:r w:rsidRPr="00EE7C0D">
        <w:rPr>
          <w:bCs/>
          <w:color w:val="auto"/>
        </w:rPr>
        <w:t>Umrah</w:t>
      </w:r>
      <w:proofErr w:type="spellEnd"/>
      <w:r w:rsidRPr="00EE7C0D">
        <w:rPr>
          <w:bCs/>
          <w:color w:val="auto"/>
        </w:rPr>
        <w:t>. Rather than limiting its function to teaching rituals, KBIHU establishes a holistic framework that prepares pilgrims comprehensively—physically, mentally, and spiritually. This approach acknowledges that Hajj is not merely a ceremonial obligation but a deeply transformative experience that challenges a person’s physical stamina, emotional stability, and spiritual discipline.</w:t>
      </w:r>
    </w:p>
    <w:p w:rsidR="00EE7C0D" w:rsidRPr="00EE7C0D" w:rsidRDefault="00EE7C0D" w:rsidP="00400188">
      <w:pPr>
        <w:spacing w:after="0" w:line="360" w:lineRule="auto"/>
        <w:ind w:left="0" w:firstLine="810"/>
        <w:rPr>
          <w:bCs/>
          <w:color w:val="auto"/>
        </w:rPr>
      </w:pPr>
      <w:r w:rsidRPr="00EE7C0D">
        <w:rPr>
          <w:bCs/>
          <w:color w:val="auto"/>
        </w:rPr>
        <w:t xml:space="preserve">The physical dimension of preparation involves helping pilgrims adapt to the physically strenuous nature of the pilgrimage, including long periods of walking, high temperatures, and large crowds. KBIHU addresses these challenges through simulation-based practice and health-related advisories, ensuring that participants are physically conditioned and aware of what to expect. These </w:t>
      </w:r>
      <w:r w:rsidRPr="00EE7C0D">
        <w:rPr>
          <w:bCs/>
          <w:color w:val="auto"/>
        </w:rPr>
        <w:lastRenderedPageBreak/>
        <w:t>practical preparations are especially crucial for elderly pilgrims and those with pre-existing health conditions, who are often at greater risk during the journey.</w:t>
      </w:r>
    </w:p>
    <w:p w:rsidR="00EE7C0D" w:rsidRPr="00EE7C0D" w:rsidRDefault="00EE7C0D" w:rsidP="00400188">
      <w:pPr>
        <w:spacing w:after="0" w:line="360" w:lineRule="auto"/>
        <w:ind w:left="0" w:firstLine="810"/>
        <w:rPr>
          <w:bCs/>
          <w:color w:val="auto"/>
        </w:rPr>
      </w:pPr>
      <w:r w:rsidRPr="00EE7C0D">
        <w:rPr>
          <w:bCs/>
          <w:color w:val="auto"/>
        </w:rPr>
        <w:t>Mentally, the institution provides an environment that fosters focus, discipline, and patience—qualities that are tested repeatedly during the pilgrimage. Through guided sessions and group discussions, participants are encouraged to reflect on the deeper meanings of the Hajj journey, reinforcing mental resilience in the face of stress and potential discomfort. KBIHU helps participants build emotional endurance and cultivate attitudes such as humility, self-restraint, and perseverance, which are integral to completing Hajj successfully.</w:t>
      </w:r>
    </w:p>
    <w:p w:rsidR="00EE7C0D" w:rsidRPr="00EE7C0D" w:rsidRDefault="00EE7C0D" w:rsidP="00400188">
      <w:pPr>
        <w:spacing w:after="0" w:line="360" w:lineRule="auto"/>
        <w:ind w:left="0" w:firstLine="810"/>
        <w:rPr>
          <w:bCs/>
          <w:color w:val="auto"/>
        </w:rPr>
      </w:pPr>
      <w:r w:rsidRPr="00EE7C0D">
        <w:rPr>
          <w:bCs/>
          <w:color w:val="auto"/>
        </w:rPr>
        <w:t>On the spiritual level, KBIHU emphasizes the intention (</w:t>
      </w:r>
      <w:proofErr w:type="spellStart"/>
      <w:r w:rsidRPr="00EE7C0D">
        <w:rPr>
          <w:bCs/>
          <w:color w:val="auto"/>
        </w:rPr>
        <w:t>niyyah</w:t>
      </w:r>
      <w:proofErr w:type="spellEnd"/>
      <w:r w:rsidRPr="00EE7C0D">
        <w:rPr>
          <w:bCs/>
          <w:color w:val="auto"/>
        </w:rPr>
        <w:t xml:space="preserve">) and the inner dimension of worship. Through spiritual counseling, </w:t>
      </w:r>
      <w:proofErr w:type="spellStart"/>
      <w:r w:rsidRPr="00EE7C0D">
        <w:rPr>
          <w:bCs/>
          <w:color w:val="auto"/>
        </w:rPr>
        <w:t>Qur’anic</w:t>
      </w:r>
      <w:proofErr w:type="spellEnd"/>
      <w:r w:rsidRPr="00EE7C0D">
        <w:rPr>
          <w:bCs/>
          <w:color w:val="auto"/>
        </w:rPr>
        <w:t xml:space="preserve"> reflections, and collective prayers, the institution guides pilgrims toward aligning their goals with sincere devotion to Allah SWT. Pilgrims are taught to understand the symbolism of each rite—from the </w:t>
      </w:r>
      <w:proofErr w:type="spellStart"/>
      <w:r w:rsidRPr="00EE7C0D">
        <w:rPr>
          <w:bCs/>
          <w:i/>
          <w:iCs/>
          <w:color w:val="auto"/>
        </w:rPr>
        <w:t>tawaf</w:t>
      </w:r>
      <w:proofErr w:type="spellEnd"/>
      <w:r w:rsidRPr="00EE7C0D">
        <w:rPr>
          <w:bCs/>
          <w:color w:val="auto"/>
        </w:rPr>
        <w:t xml:space="preserve"> to the </w:t>
      </w:r>
      <w:r w:rsidRPr="00EE7C0D">
        <w:rPr>
          <w:bCs/>
          <w:i/>
          <w:iCs/>
          <w:color w:val="auto"/>
        </w:rPr>
        <w:t xml:space="preserve">stoning of the </w:t>
      </w:r>
      <w:proofErr w:type="spellStart"/>
      <w:r w:rsidRPr="00EE7C0D">
        <w:rPr>
          <w:bCs/>
          <w:i/>
          <w:iCs/>
          <w:color w:val="auto"/>
        </w:rPr>
        <w:t>jamarat</w:t>
      </w:r>
      <w:proofErr w:type="spellEnd"/>
      <w:r w:rsidRPr="00EE7C0D">
        <w:rPr>
          <w:bCs/>
          <w:color w:val="auto"/>
        </w:rPr>
        <w:t xml:space="preserve">—which deepens their spiritual engagement and enhances the meaning of the experience. Ultimately, KBIHU's role ensures that pilgrims are not only well-informed but also spiritually awakened, positioning them to attain a </w:t>
      </w:r>
      <w:proofErr w:type="spellStart"/>
      <w:r w:rsidRPr="00EE7C0D">
        <w:rPr>
          <w:bCs/>
          <w:color w:val="auto"/>
        </w:rPr>
        <w:t>mabrur</w:t>
      </w:r>
      <w:proofErr w:type="spellEnd"/>
      <w:r w:rsidRPr="00EE7C0D">
        <w:rPr>
          <w:bCs/>
          <w:color w:val="auto"/>
        </w:rPr>
        <w:t xml:space="preserve"> Hajj—a pilgrimage accepted and blessed by Allah.</w:t>
      </w:r>
    </w:p>
    <w:p w:rsidR="00EE7C0D" w:rsidRDefault="00EE7C0D" w:rsidP="00400188">
      <w:pPr>
        <w:spacing w:after="0" w:line="360" w:lineRule="auto"/>
        <w:ind w:hanging="9"/>
        <w:jc w:val="left"/>
        <w:rPr>
          <w:b/>
          <w:color w:val="FF0000"/>
        </w:rPr>
      </w:pPr>
    </w:p>
    <w:p w:rsidR="00625243" w:rsidRPr="00EE7C0D" w:rsidRDefault="00EE7C0D" w:rsidP="00400188">
      <w:pPr>
        <w:spacing w:after="0" w:line="360" w:lineRule="auto"/>
        <w:ind w:hanging="9"/>
        <w:jc w:val="left"/>
        <w:rPr>
          <w:b/>
          <w:color w:val="auto"/>
        </w:rPr>
      </w:pPr>
      <w:r w:rsidRPr="00EE7C0D">
        <w:rPr>
          <w:b/>
          <w:color w:val="auto"/>
        </w:rPr>
        <w:t>Experiential Learning and Simulation-Based Instruction</w:t>
      </w:r>
      <w:r w:rsidR="006C69E2" w:rsidRPr="00EE7C0D">
        <w:rPr>
          <w:b/>
          <w:color w:val="auto"/>
        </w:rPr>
        <w:t xml:space="preserve">  </w:t>
      </w:r>
    </w:p>
    <w:p w:rsidR="00EE7C0D" w:rsidRPr="00EE7C0D" w:rsidRDefault="00EE7C0D" w:rsidP="00400188">
      <w:pPr>
        <w:spacing w:after="0" w:line="360" w:lineRule="auto"/>
        <w:ind w:left="0" w:firstLine="900"/>
        <w:rPr>
          <w:bCs/>
          <w:iCs/>
          <w:color w:val="auto"/>
          <w:szCs w:val="24"/>
        </w:rPr>
      </w:pPr>
      <w:r w:rsidRPr="00EE7C0D">
        <w:rPr>
          <w:bCs/>
          <w:iCs/>
          <w:color w:val="auto"/>
          <w:szCs w:val="24"/>
        </w:rPr>
        <w:t xml:space="preserve">One of the most distinctive and impactful elements identified in this study is KBIHU </w:t>
      </w:r>
      <w:proofErr w:type="spellStart"/>
      <w:r w:rsidRPr="00EE7C0D">
        <w:rPr>
          <w:bCs/>
          <w:iCs/>
          <w:color w:val="auto"/>
          <w:szCs w:val="24"/>
        </w:rPr>
        <w:t>Multazam</w:t>
      </w:r>
      <w:proofErr w:type="spellEnd"/>
      <w:r w:rsidRPr="00EE7C0D">
        <w:rPr>
          <w:bCs/>
          <w:iCs/>
          <w:color w:val="auto"/>
          <w:szCs w:val="24"/>
        </w:rPr>
        <w:t xml:space="preserve"> </w:t>
      </w:r>
      <w:proofErr w:type="spellStart"/>
      <w:r w:rsidRPr="00EE7C0D">
        <w:rPr>
          <w:bCs/>
          <w:iCs/>
          <w:color w:val="auto"/>
          <w:szCs w:val="24"/>
        </w:rPr>
        <w:t>Siti</w:t>
      </w:r>
      <w:proofErr w:type="spellEnd"/>
      <w:r w:rsidRPr="00EE7C0D">
        <w:rPr>
          <w:bCs/>
          <w:iCs/>
          <w:color w:val="auto"/>
          <w:szCs w:val="24"/>
        </w:rPr>
        <w:t xml:space="preserve"> </w:t>
      </w:r>
      <w:proofErr w:type="spellStart"/>
      <w:r w:rsidRPr="00EE7C0D">
        <w:rPr>
          <w:bCs/>
          <w:iCs/>
          <w:color w:val="auto"/>
          <w:szCs w:val="24"/>
        </w:rPr>
        <w:t>Khodijah’s</w:t>
      </w:r>
      <w:proofErr w:type="spellEnd"/>
      <w:r w:rsidRPr="00EE7C0D">
        <w:rPr>
          <w:bCs/>
          <w:iCs/>
          <w:color w:val="auto"/>
          <w:szCs w:val="24"/>
        </w:rPr>
        <w:t xml:space="preserve"> use of experiential learning through realistic simulations. The institution has invested in creating scaled replicas of key pilgrimage landmarks, including the </w:t>
      </w:r>
      <w:proofErr w:type="spellStart"/>
      <w:r w:rsidRPr="00EE7C0D">
        <w:rPr>
          <w:bCs/>
          <w:iCs/>
          <w:color w:val="auto"/>
          <w:szCs w:val="24"/>
        </w:rPr>
        <w:t>Kaaba</w:t>
      </w:r>
      <w:proofErr w:type="spellEnd"/>
      <w:r w:rsidRPr="00EE7C0D">
        <w:rPr>
          <w:bCs/>
          <w:iCs/>
          <w:color w:val="auto"/>
          <w:szCs w:val="24"/>
        </w:rPr>
        <w:t xml:space="preserve">, the </w:t>
      </w:r>
      <w:proofErr w:type="spellStart"/>
      <w:r w:rsidRPr="00EE7C0D">
        <w:rPr>
          <w:bCs/>
          <w:iCs/>
          <w:color w:val="auto"/>
          <w:szCs w:val="24"/>
        </w:rPr>
        <w:t>Safa</w:t>
      </w:r>
      <w:proofErr w:type="spellEnd"/>
      <w:r w:rsidRPr="00EE7C0D">
        <w:rPr>
          <w:bCs/>
          <w:iCs/>
          <w:color w:val="auto"/>
          <w:szCs w:val="24"/>
        </w:rPr>
        <w:t xml:space="preserve"> and </w:t>
      </w:r>
      <w:proofErr w:type="spellStart"/>
      <w:r w:rsidRPr="00EE7C0D">
        <w:rPr>
          <w:bCs/>
          <w:iCs/>
          <w:color w:val="auto"/>
          <w:szCs w:val="24"/>
        </w:rPr>
        <w:t>Marwah</w:t>
      </w:r>
      <w:proofErr w:type="spellEnd"/>
      <w:r w:rsidRPr="00EE7C0D">
        <w:rPr>
          <w:bCs/>
          <w:iCs/>
          <w:color w:val="auto"/>
          <w:szCs w:val="24"/>
        </w:rPr>
        <w:t xml:space="preserve"> hills, and Mina tents. These replicas are not merely symbolic; they serve as functional learning tools that allow participants to physically rehearse the essential rituals of Hajj and </w:t>
      </w:r>
      <w:proofErr w:type="spellStart"/>
      <w:r w:rsidRPr="00EE7C0D">
        <w:rPr>
          <w:bCs/>
          <w:iCs/>
          <w:color w:val="auto"/>
          <w:szCs w:val="24"/>
        </w:rPr>
        <w:t>Umrah</w:t>
      </w:r>
      <w:proofErr w:type="spellEnd"/>
      <w:r w:rsidRPr="00EE7C0D">
        <w:rPr>
          <w:bCs/>
          <w:iCs/>
          <w:color w:val="auto"/>
          <w:szCs w:val="24"/>
        </w:rPr>
        <w:t>. This approach transforms abstract religious instruction into tangible, embodied experience, which greatly enhances learning outcomes.</w:t>
      </w:r>
    </w:p>
    <w:p w:rsidR="00EE7C0D" w:rsidRPr="00EE7C0D" w:rsidRDefault="00EE7C0D" w:rsidP="00400188">
      <w:pPr>
        <w:spacing w:after="0" w:line="360" w:lineRule="auto"/>
        <w:ind w:left="0" w:firstLine="900"/>
        <w:rPr>
          <w:bCs/>
          <w:iCs/>
          <w:color w:val="auto"/>
          <w:szCs w:val="24"/>
        </w:rPr>
      </w:pPr>
      <w:r w:rsidRPr="00EE7C0D">
        <w:rPr>
          <w:bCs/>
          <w:iCs/>
          <w:color w:val="auto"/>
          <w:szCs w:val="24"/>
        </w:rPr>
        <w:t xml:space="preserve">By enabling participants to perform rituals in a simulated environment, KBIHU reduces uncertainty and anxiety—particularly among first-time pilgrims and the elderly, who often express fear of making mistakes during the actual pilgrimage. For example, practicing </w:t>
      </w:r>
      <w:proofErr w:type="spellStart"/>
      <w:r w:rsidRPr="00EE7C0D">
        <w:rPr>
          <w:bCs/>
          <w:i/>
          <w:iCs/>
          <w:color w:val="auto"/>
          <w:szCs w:val="24"/>
        </w:rPr>
        <w:t>tawaf</w:t>
      </w:r>
      <w:proofErr w:type="spellEnd"/>
      <w:r w:rsidRPr="00EE7C0D">
        <w:rPr>
          <w:bCs/>
          <w:iCs/>
          <w:color w:val="auto"/>
          <w:szCs w:val="24"/>
        </w:rPr>
        <w:t xml:space="preserve"> around a </w:t>
      </w:r>
      <w:proofErr w:type="spellStart"/>
      <w:r w:rsidRPr="00EE7C0D">
        <w:rPr>
          <w:bCs/>
          <w:iCs/>
          <w:color w:val="auto"/>
          <w:szCs w:val="24"/>
        </w:rPr>
        <w:lastRenderedPageBreak/>
        <w:t>Kaaba</w:t>
      </w:r>
      <w:proofErr w:type="spellEnd"/>
      <w:r w:rsidRPr="00EE7C0D">
        <w:rPr>
          <w:bCs/>
          <w:iCs/>
          <w:color w:val="auto"/>
          <w:szCs w:val="24"/>
        </w:rPr>
        <w:t xml:space="preserve"> replica or simulating the </w:t>
      </w:r>
      <w:proofErr w:type="spellStart"/>
      <w:r w:rsidRPr="00EE7C0D">
        <w:rPr>
          <w:bCs/>
          <w:i/>
          <w:iCs/>
          <w:color w:val="auto"/>
          <w:szCs w:val="24"/>
        </w:rPr>
        <w:t>sa’i</w:t>
      </w:r>
      <w:proofErr w:type="spellEnd"/>
      <w:r w:rsidRPr="00EE7C0D">
        <w:rPr>
          <w:bCs/>
          <w:iCs/>
          <w:color w:val="auto"/>
          <w:szCs w:val="24"/>
        </w:rPr>
        <w:t xml:space="preserve"> between </w:t>
      </w:r>
      <w:proofErr w:type="spellStart"/>
      <w:r w:rsidRPr="00EE7C0D">
        <w:rPr>
          <w:bCs/>
          <w:iCs/>
          <w:color w:val="auto"/>
          <w:szCs w:val="24"/>
        </w:rPr>
        <w:t>Safa</w:t>
      </w:r>
      <w:proofErr w:type="spellEnd"/>
      <w:r w:rsidRPr="00EE7C0D">
        <w:rPr>
          <w:bCs/>
          <w:iCs/>
          <w:color w:val="auto"/>
          <w:szCs w:val="24"/>
        </w:rPr>
        <w:t xml:space="preserve"> and </w:t>
      </w:r>
      <w:proofErr w:type="spellStart"/>
      <w:r w:rsidRPr="00EE7C0D">
        <w:rPr>
          <w:bCs/>
          <w:iCs/>
          <w:color w:val="auto"/>
          <w:szCs w:val="24"/>
        </w:rPr>
        <w:t>Marwah</w:t>
      </w:r>
      <w:proofErr w:type="spellEnd"/>
      <w:r w:rsidRPr="00EE7C0D">
        <w:rPr>
          <w:bCs/>
          <w:iCs/>
          <w:color w:val="auto"/>
          <w:szCs w:val="24"/>
        </w:rPr>
        <w:t xml:space="preserve"> helps demystify the rituals, making them more approachable and manageable. These sessions allow for repetition, correction, and personalized guidance, all of which contribute to building confidence and familiarity before facing the real conditions in Mecca and Medina.</w:t>
      </w:r>
    </w:p>
    <w:p w:rsidR="00EE7C0D" w:rsidRPr="00EE7C0D" w:rsidRDefault="00EE7C0D" w:rsidP="00400188">
      <w:pPr>
        <w:spacing w:after="0" w:line="360" w:lineRule="auto"/>
        <w:ind w:left="0" w:firstLine="900"/>
        <w:rPr>
          <w:bCs/>
          <w:iCs/>
          <w:color w:val="auto"/>
          <w:szCs w:val="24"/>
        </w:rPr>
      </w:pPr>
      <w:r w:rsidRPr="00EE7C0D">
        <w:rPr>
          <w:bCs/>
          <w:iCs/>
          <w:color w:val="auto"/>
          <w:szCs w:val="24"/>
        </w:rPr>
        <w:t>From an educational standpoint, this method reflects the principles of andragogy, or adult learning theory, which emphasizes experience, problem-solving, and self-direction. Adults learn more effectively when they are actively engaged and can relate learning content to real-life situations. KBIHU’s use of simulations aligns perfectly with this model, as it caters to a demographic that often requires clear, visual, and hands-on experiences to grasp complex spiritual and logistical concepts. This method also allows for interactive feedback between instructors and participants, which is critical for correcting misconceptions and reinforcing accurate practices.</w:t>
      </w:r>
    </w:p>
    <w:p w:rsidR="00EE7C0D" w:rsidRPr="00EE7C0D" w:rsidRDefault="00EE7C0D" w:rsidP="00400188">
      <w:pPr>
        <w:spacing w:after="0" w:line="360" w:lineRule="auto"/>
        <w:ind w:left="0" w:firstLine="900"/>
        <w:rPr>
          <w:bCs/>
          <w:iCs/>
          <w:color w:val="auto"/>
          <w:szCs w:val="24"/>
        </w:rPr>
      </w:pPr>
      <w:r w:rsidRPr="00EE7C0D">
        <w:rPr>
          <w:bCs/>
          <w:iCs/>
          <w:color w:val="auto"/>
          <w:szCs w:val="24"/>
        </w:rPr>
        <w:t xml:space="preserve">Furthermore, the integration of experiential learning into religious guidance signifies a broader shift in how Islamic education is evolving in community-based contexts. It shows a willingness to innovate while remaining faithful to religious principles. In this light, KBIHU </w:t>
      </w:r>
      <w:proofErr w:type="spellStart"/>
      <w:r w:rsidRPr="00EE7C0D">
        <w:rPr>
          <w:bCs/>
          <w:iCs/>
          <w:color w:val="auto"/>
          <w:szCs w:val="24"/>
        </w:rPr>
        <w:t>Multazam</w:t>
      </w:r>
      <w:proofErr w:type="spellEnd"/>
      <w:r w:rsidRPr="00EE7C0D">
        <w:rPr>
          <w:bCs/>
          <w:iCs/>
          <w:color w:val="auto"/>
          <w:szCs w:val="24"/>
        </w:rPr>
        <w:t xml:space="preserve"> </w:t>
      </w:r>
      <w:proofErr w:type="spellStart"/>
      <w:r w:rsidRPr="00EE7C0D">
        <w:rPr>
          <w:bCs/>
          <w:iCs/>
          <w:color w:val="auto"/>
          <w:szCs w:val="24"/>
        </w:rPr>
        <w:t>Siti</w:t>
      </w:r>
      <w:proofErr w:type="spellEnd"/>
      <w:r w:rsidRPr="00EE7C0D">
        <w:rPr>
          <w:bCs/>
          <w:iCs/>
          <w:color w:val="auto"/>
          <w:szCs w:val="24"/>
        </w:rPr>
        <w:t xml:space="preserve"> </w:t>
      </w:r>
      <w:proofErr w:type="spellStart"/>
      <w:r w:rsidRPr="00EE7C0D">
        <w:rPr>
          <w:bCs/>
          <w:iCs/>
          <w:color w:val="auto"/>
          <w:szCs w:val="24"/>
        </w:rPr>
        <w:t>Khodijah</w:t>
      </w:r>
      <w:proofErr w:type="spellEnd"/>
      <w:r w:rsidRPr="00EE7C0D">
        <w:rPr>
          <w:bCs/>
          <w:iCs/>
          <w:color w:val="auto"/>
          <w:szCs w:val="24"/>
        </w:rPr>
        <w:t xml:space="preserve"> is not just a training center—it serves as a learning ecosystem, blending tradition with modern pedagogical techniques. This positions the institution as a model for how faith-based education can be enhanced through active, learner-centered strategies that are both practical and spiritually enriching.</w:t>
      </w:r>
    </w:p>
    <w:p w:rsidR="0016009C" w:rsidRPr="00CB4323" w:rsidRDefault="0016009C" w:rsidP="00400188">
      <w:pPr>
        <w:spacing w:after="0" w:line="360" w:lineRule="auto"/>
        <w:ind w:left="0" w:firstLine="900"/>
        <w:rPr>
          <w:color w:val="FF0000"/>
          <w:szCs w:val="24"/>
        </w:rPr>
      </w:pPr>
    </w:p>
    <w:p w:rsidR="00EE7C0D" w:rsidRPr="00EE7C0D" w:rsidRDefault="00EE7C0D" w:rsidP="00400188">
      <w:pPr>
        <w:spacing w:after="0" w:line="360" w:lineRule="auto"/>
        <w:ind w:left="14" w:firstLine="0"/>
        <w:jc w:val="left"/>
        <w:rPr>
          <w:b/>
          <w:bCs/>
          <w:color w:val="auto"/>
          <w:szCs w:val="24"/>
        </w:rPr>
      </w:pPr>
      <w:r w:rsidRPr="00EE7C0D">
        <w:rPr>
          <w:b/>
          <w:bCs/>
          <w:color w:val="auto"/>
          <w:szCs w:val="24"/>
        </w:rPr>
        <w:t xml:space="preserve">Strengthening Community Bonds </w:t>
      </w:r>
      <w:proofErr w:type="gramStart"/>
      <w:r w:rsidRPr="00EE7C0D">
        <w:rPr>
          <w:b/>
          <w:bCs/>
          <w:color w:val="auto"/>
          <w:szCs w:val="24"/>
        </w:rPr>
        <w:t>Through</w:t>
      </w:r>
      <w:proofErr w:type="gramEnd"/>
      <w:r w:rsidRPr="00EE7C0D">
        <w:rPr>
          <w:b/>
          <w:bCs/>
          <w:color w:val="auto"/>
          <w:szCs w:val="24"/>
        </w:rPr>
        <w:t xml:space="preserve"> Shared Religious Experience</w:t>
      </w:r>
    </w:p>
    <w:p w:rsidR="00EE7C0D" w:rsidRPr="00EE7C0D" w:rsidRDefault="00EE7C0D" w:rsidP="00400188">
      <w:pPr>
        <w:spacing w:after="0" w:line="360" w:lineRule="auto"/>
        <w:ind w:left="14" w:firstLine="886"/>
        <w:rPr>
          <w:bCs/>
          <w:color w:val="auto"/>
          <w:szCs w:val="24"/>
        </w:rPr>
      </w:pPr>
      <w:r w:rsidRPr="00EE7C0D">
        <w:rPr>
          <w:bCs/>
          <w:color w:val="auto"/>
          <w:szCs w:val="24"/>
        </w:rPr>
        <w:t xml:space="preserve">In addition to preparing individuals for the rituals of Hajj and </w:t>
      </w:r>
      <w:proofErr w:type="spellStart"/>
      <w:r w:rsidRPr="00EE7C0D">
        <w:rPr>
          <w:bCs/>
          <w:color w:val="auto"/>
          <w:szCs w:val="24"/>
        </w:rPr>
        <w:t>Umrah</w:t>
      </w:r>
      <w:proofErr w:type="spellEnd"/>
      <w:r w:rsidRPr="00EE7C0D">
        <w:rPr>
          <w:bCs/>
          <w:color w:val="auto"/>
          <w:szCs w:val="24"/>
        </w:rPr>
        <w:t xml:space="preserve">, KBIHU </w:t>
      </w:r>
      <w:proofErr w:type="spellStart"/>
      <w:r w:rsidRPr="00EE7C0D">
        <w:rPr>
          <w:bCs/>
          <w:color w:val="auto"/>
          <w:szCs w:val="24"/>
        </w:rPr>
        <w:t>Multazam</w:t>
      </w:r>
      <w:proofErr w:type="spellEnd"/>
      <w:r w:rsidRPr="00EE7C0D">
        <w:rPr>
          <w:bCs/>
          <w:color w:val="auto"/>
          <w:szCs w:val="24"/>
        </w:rPr>
        <w:t xml:space="preserve"> </w:t>
      </w:r>
      <w:proofErr w:type="spellStart"/>
      <w:r w:rsidRPr="00EE7C0D">
        <w:rPr>
          <w:bCs/>
          <w:color w:val="auto"/>
          <w:szCs w:val="24"/>
        </w:rPr>
        <w:t>Siti</w:t>
      </w:r>
      <w:proofErr w:type="spellEnd"/>
      <w:r w:rsidRPr="00EE7C0D">
        <w:rPr>
          <w:bCs/>
          <w:color w:val="auto"/>
          <w:szCs w:val="24"/>
        </w:rPr>
        <w:t xml:space="preserve"> </w:t>
      </w:r>
      <w:proofErr w:type="spellStart"/>
      <w:r w:rsidRPr="00EE7C0D">
        <w:rPr>
          <w:bCs/>
          <w:color w:val="auto"/>
          <w:szCs w:val="24"/>
        </w:rPr>
        <w:t>Khodijah</w:t>
      </w:r>
      <w:proofErr w:type="spellEnd"/>
      <w:r w:rsidRPr="00EE7C0D">
        <w:rPr>
          <w:bCs/>
          <w:color w:val="auto"/>
          <w:szCs w:val="24"/>
        </w:rPr>
        <w:t xml:space="preserve"> also plays a crucial role in fostering communal unity and spiritual brotherhood. Through regularly scheduled group sessions, collective worship, and joint </w:t>
      </w:r>
      <w:proofErr w:type="spellStart"/>
      <w:r w:rsidRPr="00EE7C0D">
        <w:rPr>
          <w:bCs/>
          <w:color w:val="auto"/>
          <w:szCs w:val="24"/>
        </w:rPr>
        <w:t>manasik</w:t>
      </w:r>
      <w:proofErr w:type="spellEnd"/>
      <w:r w:rsidRPr="00EE7C0D">
        <w:rPr>
          <w:bCs/>
          <w:color w:val="auto"/>
          <w:szCs w:val="24"/>
        </w:rPr>
        <w:t xml:space="preserve"> activities, the institution promotes a strong sense of </w:t>
      </w:r>
      <w:proofErr w:type="spellStart"/>
      <w:r w:rsidRPr="00EE7C0D">
        <w:rPr>
          <w:bCs/>
          <w:i/>
          <w:iCs/>
          <w:color w:val="auto"/>
          <w:szCs w:val="24"/>
        </w:rPr>
        <w:t>ukhuwah</w:t>
      </w:r>
      <w:proofErr w:type="spellEnd"/>
      <w:r w:rsidRPr="00EE7C0D">
        <w:rPr>
          <w:bCs/>
          <w:i/>
          <w:iCs/>
          <w:color w:val="auto"/>
          <w:szCs w:val="24"/>
        </w:rPr>
        <w:t xml:space="preserve"> </w:t>
      </w:r>
      <w:proofErr w:type="spellStart"/>
      <w:r w:rsidRPr="00EE7C0D">
        <w:rPr>
          <w:bCs/>
          <w:i/>
          <w:iCs/>
          <w:color w:val="auto"/>
          <w:szCs w:val="24"/>
        </w:rPr>
        <w:t>Islamiyah</w:t>
      </w:r>
      <w:proofErr w:type="spellEnd"/>
      <w:r w:rsidRPr="00EE7C0D">
        <w:rPr>
          <w:bCs/>
          <w:color w:val="auto"/>
          <w:szCs w:val="24"/>
        </w:rPr>
        <w:t>—a core value in Islamic tradition. These shared experiences cultivate interpersonal trust and emotional connection among participants, which becomes especially important when embarking on a physically and spiritually demanding journey.</w:t>
      </w:r>
    </w:p>
    <w:p w:rsidR="00EE7C0D" w:rsidRPr="00EE7C0D" w:rsidRDefault="00EE7C0D" w:rsidP="00400188">
      <w:pPr>
        <w:spacing w:after="0" w:line="360" w:lineRule="auto"/>
        <w:ind w:left="14" w:firstLine="886"/>
        <w:rPr>
          <w:bCs/>
          <w:color w:val="auto"/>
          <w:szCs w:val="24"/>
        </w:rPr>
      </w:pPr>
      <w:r w:rsidRPr="00EE7C0D">
        <w:rPr>
          <w:bCs/>
          <w:color w:val="auto"/>
          <w:szCs w:val="24"/>
        </w:rPr>
        <w:lastRenderedPageBreak/>
        <w:t>This communal aspect of preparation is often underemphasized in discussions that focus solely on logistical readiness. However, the emotional support and solidarity built during these sessions contribute significantly to the overall pilgrimage experience. When pilgrims embark on Hajj together, the sense of having a trusted support system reduces feelings of vulnerability and isolation, especially for elderly participants or those traveling for the first time.</w:t>
      </w:r>
    </w:p>
    <w:p w:rsidR="00EE7C0D" w:rsidRPr="00EE7C0D" w:rsidRDefault="00EE7C0D" w:rsidP="00400188">
      <w:pPr>
        <w:spacing w:after="0" w:line="360" w:lineRule="auto"/>
        <w:ind w:left="14" w:firstLine="886"/>
        <w:rPr>
          <w:bCs/>
          <w:color w:val="auto"/>
          <w:szCs w:val="24"/>
        </w:rPr>
      </w:pPr>
      <w:r w:rsidRPr="00EE7C0D">
        <w:rPr>
          <w:bCs/>
          <w:color w:val="auto"/>
          <w:szCs w:val="24"/>
        </w:rPr>
        <w:t xml:space="preserve">The spiritual benefits of community building are equally significant. Engaging in prayer, reflection, and religious discourse as a group reinforces shared purpose and collective devotion. These interactions help pilgrims internalize the notion that Hajj is not just a personal act of worship but a communal expression of faith, deeply tied to the broader </w:t>
      </w:r>
      <w:proofErr w:type="spellStart"/>
      <w:r w:rsidRPr="00EE7C0D">
        <w:rPr>
          <w:bCs/>
          <w:color w:val="auto"/>
          <w:szCs w:val="24"/>
        </w:rPr>
        <w:t>ummah</w:t>
      </w:r>
      <w:proofErr w:type="spellEnd"/>
      <w:r w:rsidRPr="00EE7C0D">
        <w:rPr>
          <w:bCs/>
          <w:color w:val="auto"/>
          <w:szCs w:val="24"/>
        </w:rPr>
        <w:t>. By fostering unity, KBIHU helps transform individual preparation into a shared spiritual journey, enhancing both the ritual and emotional dimensions of the pilgrimage.</w:t>
      </w:r>
    </w:p>
    <w:p w:rsidR="00EE7C0D" w:rsidRPr="00EE7C0D" w:rsidRDefault="00EE7C0D" w:rsidP="00400188">
      <w:pPr>
        <w:spacing w:after="0" w:line="360" w:lineRule="auto"/>
        <w:ind w:left="14" w:firstLine="886"/>
        <w:rPr>
          <w:b/>
          <w:bCs/>
          <w:color w:val="FF0000"/>
          <w:szCs w:val="24"/>
        </w:rPr>
      </w:pPr>
      <w:r w:rsidRPr="00EE7C0D">
        <w:rPr>
          <w:bCs/>
          <w:color w:val="auto"/>
          <w:szCs w:val="24"/>
        </w:rPr>
        <w:t xml:space="preserve">In this way, KBIHU functions as more than a training center—it becomes a spiritual community hub. Its approach reflects the prophetic tradition of encouraging collective acts of worship and mutual support among believers. This social dynamic enriches the experience of Hajj and </w:t>
      </w:r>
      <w:proofErr w:type="spellStart"/>
      <w:r w:rsidRPr="00EE7C0D">
        <w:rPr>
          <w:bCs/>
          <w:color w:val="auto"/>
          <w:szCs w:val="24"/>
        </w:rPr>
        <w:t>Umrah</w:t>
      </w:r>
      <w:proofErr w:type="spellEnd"/>
      <w:r w:rsidRPr="00EE7C0D">
        <w:rPr>
          <w:bCs/>
          <w:color w:val="auto"/>
          <w:szCs w:val="24"/>
        </w:rPr>
        <w:t>, not only by easing practical challenges but by embedding the pilgrimage within a broader ethical and communal framework.</w:t>
      </w:r>
    </w:p>
    <w:p w:rsidR="00625243" w:rsidRPr="00CB4323" w:rsidRDefault="00625243" w:rsidP="00400188">
      <w:pPr>
        <w:spacing w:after="0" w:line="360" w:lineRule="auto"/>
        <w:ind w:left="14" w:firstLine="0"/>
        <w:jc w:val="left"/>
        <w:rPr>
          <w:color w:val="FF0000"/>
        </w:rPr>
      </w:pPr>
    </w:p>
    <w:p w:rsidR="00EE7C0D" w:rsidRPr="00EE7C0D" w:rsidRDefault="00EE7C0D" w:rsidP="00400188">
      <w:pPr>
        <w:spacing w:after="0" w:line="360" w:lineRule="auto"/>
        <w:ind w:left="14" w:firstLine="0"/>
        <w:jc w:val="left"/>
        <w:rPr>
          <w:b/>
          <w:bCs/>
          <w:color w:val="auto"/>
        </w:rPr>
      </w:pPr>
      <w:r w:rsidRPr="00EE7C0D">
        <w:rPr>
          <w:b/>
          <w:bCs/>
          <w:color w:val="auto"/>
        </w:rPr>
        <w:t>Institutional Credibility and Alignment with State Religious Frameworks</w:t>
      </w:r>
    </w:p>
    <w:p w:rsidR="00EE7C0D" w:rsidRPr="00EE7C0D" w:rsidRDefault="00EE7C0D" w:rsidP="00400188">
      <w:pPr>
        <w:spacing w:after="0" w:line="360" w:lineRule="auto"/>
        <w:ind w:left="14" w:firstLine="886"/>
        <w:rPr>
          <w:color w:val="auto"/>
        </w:rPr>
      </w:pPr>
      <w:r w:rsidRPr="00EE7C0D">
        <w:rPr>
          <w:color w:val="auto"/>
        </w:rPr>
        <w:t xml:space="preserve">A significant factor that reinforces the public’s trust in KBIHU </w:t>
      </w:r>
      <w:proofErr w:type="spellStart"/>
      <w:r w:rsidRPr="00EE7C0D">
        <w:rPr>
          <w:color w:val="auto"/>
        </w:rPr>
        <w:t>Multazam</w:t>
      </w:r>
      <w:proofErr w:type="spellEnd"/>
      <w:r w:rsidRPr="00EE7C0D">
        <w:rPr>
          <w:color w:val="auto"/>
        </w:rPr>
        <w:t xml:space="preserve"> </w:t>
      </w:r>
      <w:proofErr w:type="spellStart"/>
      <w:r w:rsidRPr="00EE7C0D">
        <w:rPr>
          <w:color w:val="auto"/>
        </w:rPr>
        <w:t>Siti</w:t>
      </w:r>
      <w:proofErr w:type="spellEnd"/>
      <w:r w:rsidRPr="00EE7C0D">
        <w:rPr>
          <w:color w:val="auto"/>
        </w:rPr>
        <w:t xml:space="preserve"> </w:t>
      </w:r>
      <w:proofErr w:type="spellStart"/>
      <w:r w:rsidRPr="00EE7C0D">
        <w:rPr>
          <w:color w:val="auto"/>
        </w:rPr>
        <w:t>Khodijah</w:t>
      </w:r>
      <w:proofErr w:type="spellEnd"/>
      <w:r w:rsidRPr="00EE7C0D">
        <w:rPr>
          <w:color w:val="auto"/>
        </w:rPr>
        <w:t xml:space="preserve"> is its </w:t>
      </w:r>
      <w:r w:rsidRPr="00EE7C0D">
        <w:rPr>
          <w:bCs/>
          <w:color w:val="auto"/>
        </w:rPr>
        <w:t>formal recognition by the Ministry of Religious Affairs</w:t>
      </w:r>
      <w:r w:rsidRPr="00EE7C0D">
        <w:rPr>
          <w:color w:val="auto"/>
        </w:rPr>
        <w:t xml:space="preserve">, as established by Decree No. 1085/2015. This accreditation affirms the institution’s compliance with national religious education standards and provides an official endorsement of its operational legitimacy. In an environment where concerns about unlicensed and fraudulent Hajj operators persist, such certification acts as a </w:t>
      </w:r>
      <w:r w:rsidRPr="00EE7C0D">
        <w:rPr>
          <w:bCs/>
          <w:color w:val="auto"/>
        </w:rPr>
        <w:t>protective assurance for pilgrims</w:t>
      </w:r>
      <w:r w:rsidRPr="00EE7C0D">
        <w:rPr>
          <w:color w:val="auto"/>
        </w:rPr>
        <w:t>, signaling that the institution operates ethically and in line with state-sanctioned procedures.</w:t>
      </w:r>
    </w:p>
    <w:p w:rsidR="00EE7C0D" w:rsidRPr="00EE7C0D" w:rsidRDefault="00EE7C0D" w:rsidP="00400188">
      <w:pPr>
        <w:spacing w:after="0" w:line="360" w:lineRule="auto"/>
        <w:ind w:left="14" w:firstLine="886"/>
        <w:rPr>
          <w:color w:val="auto"/>
        </w:rPr>
      </w:pPr>
      <w:r w:rsidRPr="00EE7C0D">
        <w:rPr>
          <w:color w:val="auto"/>
        </w:rPr>
        <w:t xml:space="preserve">Accreditation also elevates the institution’s status within the wider network of religious service providers. It allows KBIHU to formally collaborate with the government in organizing </w:t>
      </w:r>
      <w:r w:rsidRPr="00EE7C0D">
        <w:rPr>
          <w:color w:val="auto"/>
        </w:rPr>
        <w:lastRenderedPageBreak/>
        <w:t xml:space="preserve">standardized </w:t>
      </w:r>
      <w:proofErr w:type="spellStart"/>
      <w:r w:rsidRPr="00EE7C0D">
        <w:rPr>
          <w:i/>
          <w:iCs/>
          <w:color w:val="auto"/>
        </w:rPr>
        <w:t>manasik</w:t>
      </w:r>
      <w:proofErr w:type="spellEnd"/>
      <w:r w:rsidRPr="00EE7C0D">
        <w:rPr>
          <w:color w:val="auto"/>
        </w:rPr>
        <w:t xml:space="preserve"> training, which is essential for ensuring uniformity and quality in pilgrimage education. This collaboration exemplifies a </w:t>
      </w:r>
      <w:r w:rsidRPr="00EE7C0D">
        <w:rPr>
          <w:bCs/>
          <w:color w:val="auto"/>
        </w:rPr>
        <w:t>productive partnership between civil society and government</w:t>
      </w:r>
      <w:r w:rsidRPr="00EE7C0D">
        <w:rPr>
          <w:color w:val="auto"/>
        </w:rPr>
        <w:t>, where faith-based organizations work in synergy with regulatory institutions to support national religious objectives.</w:t>
      </w:r>
    </w:p>
    <w:p w:rsidR="00EE7C0D" w:rsidRPr="00EE7C0D" w:rsidRDefault="00EE7C0D" w:rsidP="00400188">
      <w:pPr>
        <w:spacing w:after="0" w:line="360" w:lineRule="auto"/>
        <w:ind w:left="14" w:firstLine="886"/>
        <w:rPr>
          <w:color w:val="auto"/>
        </w:rPr>
      </w:pPr>
      <w:r w:rsidRPr="00EE7C0D">
        <w:rPr>
          <w:color w:val="auto"/>
        </w:rPr>
        <w:t xml:space="preserve">Moreover, the presence of an accredited local institution contributes to </w:t>
      </w:r>
      <w:r w:rsidRPr="00EE7C0D">
        <w:rPr>
          <w:bCs/>
          <w:color w:val="auto"/>
        </w:rPr>
        <w:t>decentralizing access to quality religious services</w:t>
      </w:r>
      <w:r w:rsidRPr="00EE7C0D">
        <w:rPr>
          <w:color w:val="auto"/>
        </w:rPr>
        <w:t xml:space="preserve">. Instead of relying solely on large, urban-based providers, communities in regional areas such as Padang </w:t>
      </w:r>
      <w:proofErr w:type="spellStart"/>
      <w:r w:rsidRPr="00EE7C0D">
        <w:rPr>
          <w:color w:val="auto"/>
        </w:rPr>
        <w:t>Sidempuan</w:t>
      </w:r>
      <w:proofErr w:type="spellEnd"/>
      <w:r w:rsidRPr="00EE7C0D">
        <w:rPr>
          <w:color w:val="auto"/>
        </w:rPr>
        <w:t xml:space="preserve"> can receive equally high-quality, locally relevant guidance. This reflects an inclusive model of religious empowerment where public trust is built not only through personal experience but also through the visible accountability of the institution itself.</w:t>
      </w:r>
    </w:p>
    <w:p w:rsidR="00EE7C0D" w:rsidRPr="00EE7C0D" w:rsidRDefault="00EE7C0D" w:rsidP="00400188">
      <w:pPr>
        <w:spacing w:after="0" w:line="360" w:lineRule="auto"/>
        <w:ind w:left="14" w:firstLine="886"/>
        <w:rPr>
          <w:color w:val="auto"/>
        </w:rPr>
      </w:pPr>
      <w:r w:rsidRPr="00EE7C0D">
        <w:rPr>
          <w:color w:val="auto"/>
        </w:rPr>
        <w:t xml:space="preserve">In broader terms, the case of KBIHU </w:t>
      </w:r>
      <w:proofErr w:type="spellStart"/>
      <w:r w:rsidRPr="00EE7C0D">
        <w:rPr>
          <w:color w:val="auto"/>
        </w:rPr>
        <w:t>Multazam</w:t>
      </w:r>
      <w:proofErr w:type="spellEnd"/>
      <w:r w:rsidRPr="00EE7C0D">
        <w:rPr>
          <w:color w:val="auto"/>
        </w:rPr>
        <w:t xml:space="preserve"> </w:t>
      </w:r>
      <w:proofErr w:type="spellStart"/>
      <w:r w:rsidRPr="00EE7C0D">
        <w:rPr>
          <w:color w:val="auto"/>
        </w:rPr>
        <w:t>Siti</w:t>
      </w:r>
      <w:proofErr w:type="spellEnd"/>
      <w:r w:rsidRPr="00EE7C0D">
        <w:rPr>
          <w:color w:val="auto"/>
        </w:rPr>
        <w:t xml:space="preserve"> </w:t>
      </w:r>
      <w:proofErr w:type="spellStart"/>
      <w:r w:rsidRPr="00EE7C0D">
        <w:rPr>
          <w:color w:val="auto"/>
        </w:rPr>
        <w:t>Khodijah</w:t>
      </w:r>
      <w:proofErr w:type="spellEnd"/>
      <w:r w:rsidRPr="00EE7C0D">
        <w:rPr>
          <w:color w:val="auto"/>
        </w:rPr>
        <w:t xml:space="preserve"> illustrates how </w:t>
      </w:r>
      <w:r w:rsidRPr="00EE7C0D">
        <w:rPr>
          <w:bCs/>
          <w:color w:val="auto"/>
        </w:rPr>
        <w:t>institutional legitimacy can be harmonized with grassroots impact</w:t>
      </w:r>
      <w:r w:rsidRPr="00EE7C0D">
        <w:rPr>
          <w:color w:val="auto"/>
        </w:rPr>
        <w:t xml:space="preserve">. Its ability to meet national standards while remaining deeply embedded in the local context provides a compelling example of how religious institutions can be both spiritually effective and administratively sound. This dual strength makes KBIHU a model worthy of emulation by other regions aiming to improve the safety, quality, and spiritual depth of Hajj and </w:t>
      </w:r>
      <w:proofErr w:type="spellStart"/>
      <w:r w:rsidRPr="00EE7C0D">
        <w:rPr>
          <w:color w:val="auto"/>
        </w:rPr>
        <w:t>Umrah</w:t>
      </w:r>
      <w:proofErr w:type="spellEnd"/>
      <w:r w:rsidRPr="00EE7C0D">
        <w:rPr>
          <w:color w:val="auto"/>
        </w:rPr>
        <w:t xml:space="preserve"> preparation.</w:t>
      </w:r>
    </w:p>
    <w:p w:rsidR="00740636" w:rsidRPr="00CB4323" w:rsidRDefault="00740636" w:rsidP="00400188">
      <w:pPr>
        <w:spacing w:after="0" w:line="360" w:lineRule="auto"/>
        <w:ind w:left="14" w:firstLine="0"/>
        <w:jc w:val="left"/>
        <w:rPr>
          <w:b/>
          <w:color w:val="FF0000"/>
        </w:rPr>
      </w:pPr>
    </w:p>
    <w:p w:rsidR="00625243" w:rsidRPr="00400188" w:rsidRDefault="009A27D1" w:rsidP="00400188">
      <w:pPr>
        <w:pStyle w:val="Heading1"/>
        <w:spacing w:after="0" w:line="360" w:lineRule="auto"/>
        <w:rPr>
          <w:color w:val="auto"/>
        </w:rPr>
      </w:pPr>
      <w:r w:rsidRPr="00400188">
        <w:rPr>
          <w:color w:val="auto"/>
        </w:rPr>
        <w:t xml:space="preserve">CONCLUSION </w:t>
      </w:r>
    </w:p>
    <w:p w:rsidR="00400188" w:rsidRPr="00400188" w:rsidRDefault="00400188" w:rsidP="00400188">
      <w:pPr>
        <w:spacing w:after="0" w:line="360" w:lineRule="auto"/>
        <w:ind w:left="14" w:firstLine="886"/>
        <w:rPr>
          <w:color w:val="auto"/>
        </w:rPr>
      </w:pPr>
      <w:r w:rsidRPr="00400188">
        <w:rPr>
          <w:color w:val="auto"/>
        </w:rPr>
        <w:t xml:space="preserve">This study highlights the crucial role of </w:t>
      </w:r>
      <w:r w:rsidRPr="00400188">
        <w:rPr>
          <w:bCs/>
          <w:color w:val="auto"/>
        </w:rPr>
        <w:t xml:space="preserve">KBIHU </w:t>
      </w:r>
      <w:proofErr w:type="spellStart"/>
      <w:r w:rsidRPr="00400188">
        <w:rPr>
          <w:bCs/>
          <w:color w:val="auto"/>
        </w:rPr>
        <w:t>Multazam</w:t>
      </w:r>
      <w:proofErr w:type="spellEnd"/>
      <w:r w:rsidRPr="00400188">
        <w:rPr>
          <w:bCs/>
          <w:color w:val="auto"/>
        </w:rPr>
        <w:t xml:space="preserve"> </w:t>
      </w:r>
      <w:proofErr w:type="spellStart"/>
      <w:r w:rsidRPr="00400188">
        <w:rPr>
          <w:bCs/>
          <w:color w:val="auto"/>
        </w:rPr>
        <w:t>Siti</w:t>
      </w:r>
      <w:proofErr w:type="spellEnd"/>
      <w:r w:rsidRPr="00400188">
        <w:rPr>
          <w:bCs/>
          <w:color w:val="auto"/>
        </w:rPr>
        <w:t xml:space="preserve"> </w:t>
      </w:r>
      <w:proofErr w:type="spellStart"/>
      <w:r w:rsidRPr="00400188">
        <w:rPr>
          <w:bCs/>
          <w:color w:val="auto"/>
        </w:rPr>
        <w:t>Khodijah</w:t>
      </w:r>
      <w:proofErr w:type="spellEnd"/>
      <w:r w:rsidRPr="00400188">
        <w:rPr>
          <w:color w:val="auto"/>
        </w:rPr>
        <w:t xml:space="preserve"> as not only a provider of ritual instruction but also as a transformative institution that prepares pilgrims holistically—spiritually, physically, and socially—for their Hajj and </w:t>
      </w:r>
      <w:proofErr w:type="spellStart"/>
      <w:r w:rsidRPr="00400188">
        <w:rPr>
          <w:color w:val="auto"/>
        </w:rPr>
        <w:t>Umrah</w:t>
      </w:r>
      <w:proofErr w:type="spellEnd"/>
      <w:r w:rsidRPr="00400188">
        <w:rPr>
          <w:color w:val="auto"/>
        </w:rPr>
        <w:t xml:space="preserve"> journeys. The most significant finding is the implementation of </w:t>
      </w:r>
      <w:r w:rsidRPr="00400188">
        <w:rPr>
          <w:bCs/>
          <w:color w:val="auto"/>
        </w:rPr>
        <w:t>experiential and community-based learning</w:t>
      </w:r>
      <w:r w:rsidRPr="00400188">
        <w:rPr>
          <w:color w:val="auto"/>
        </w:rPr>
        <w:t>, which empowers pilgrims through real-time simulations and fosters a strong sense of Islamic brotherhood (</w:t>
      </w:r>
      <w:proofErr w:type="spellStart"/>
      <w:r w:rsidRPr="00400188">
        <w:rPr>
          <w:i/>
          <w:iCs/>
          <w:color w:val="auto"/>
        </w:rPr>
        <w:t>ukhuwah</w:t>
      </w:r>
      <w:proofErr w:type="spellEnd"/>
      <w:r w:rsidRPr="00400188">
        <w:rPr>
          <w:i/>
          <w:iCs/>
          <w:color w:val="auto"/>
        </w:rPr>
        <w:t xml:space="preserve"> </w:t>
      </w:r>
      <w:proofErr w:type="spellStart"/>
      <w:r w:rsidRPr="00400188">
        <w:rPr>
          <w:i/>
          <w:iCs/>
          <w:color w:val="auto"/>
        </w:rPr>
        <w:t>Islamiyah</w:t>
      </w:r>
      <w:proofErr w:type="spellEnd"/>
      <w:r w:rsidRPr="00400188">
        <w:rPr>
          <w:color w:val="auto"/>
        </w:rPr>
        <w:t>). This approach transforms the learning experience from a passive reception of information into a deeply engaging and emotionally supportive process, significantly enhancing the likelihood of a meaningful and successful pilgrimage.</w:t>
      </w:r>
    </w:p>
    <w:p w:rsidR="00400188" w:rsidRPr="00400188" w:rsidRDefault="00400188" w:rsidP="00400188">
      <w:pPr>
        <w:spacing w:after="0" w:line="360" w:lineRule="auto"/>
        <w:ind w:left="14" w:firstLine="886"/>
        <w:rPr>
          <w:color w:val="auto"/>
        </w:rPr>
      </w:pPr>
      <w:r w:rsidRPr="00400188">
        <w:rPr>
          <w:color w:val="auto"/>
        </w:rPr>
        <w:lastRenderedPageBreak/>
        <w:t xml:space="preserve">From an academic perspective, this study offers a </w:t>
      </w:r>
      <w:r w:rsidRPr="00400188">
        <w:rPr>
          <w:b/>
          <w:bCs/>
          <w:color w:val="auto"/>
        </w:rPr>
        <w:t>novel contribution</w:t>
      </w:r>
      <w:r w:rsidRPr="00400188">
        <w:rPr>
          <w:color w:val="auto"/>
        </w:rPr>
        <w:t xml:space="preserve"> by presenting a localized model of pilgrimage education that integrates modern adult learning methods with traditional religious values. Unlike prior studies that focus on large-scale or institutional frameworks, this research sheds light on how </w:t>
      </w:r>
      <w:r w:rsidRPr="00400188">
        <w:rPr>
          <w:b/>
          <w:bCs/>
          <w:color w:val="auto"/>
        </w:rPr>
        <w:t>grassroots religious institutions</w:t>
      </w:r>
      <w:r w:rsidRPr="00400188">
        <w:rPr>
          <w:color w:val="auto"/>
        </w:rPr>
        <w:t>—particularly in regional areas—can deliver high-impact training. The combination of certified legitimacy, experiential pedagogy, and spiritual mentoring creates a replicable model for enhancing religious education and community resilience. It contributes to the evolving discourse on Islamic education by demonstrating how faith-based learning can remain adaptive, relevant, and locally grounded.</w:t>
      </w:r>
    </w:p>
    <w:p w:rsidR="00400188" w:rsidRPr="00400188" w:rsidRDefault="00400188" w:rsidP="00400188">
      <w:pPr>
        <w:spacing w:after="0" w:line="360" w:lineRule="auto"/>
        <w:ind w:left="14" w:firstLine="886"/>
        <w:rPr>
          <w:color w:val="auto"/>
        </w:rPr>
      </w:pPr>
      <w:r w:rsidRPr="00400188">
        <w:rPr>
          <w:color w:val="auto"/>
        </w:rPr>
        <w:t xml:space="preserve">However, the study has several </w:t>
      </w:r>
      <w:r w:rsidRPr="00400188">
        <w:rPr>
          <w:b/>
          <w:bCs/>
          <w:color w:val="auto"/>
        </w:rPr>
        <w:t>limitations</w:t>
      </w:r>
      <w:r w:rsidRPr="00400188">
        <w:rPr>
          <w:color w:val="auto"/>
        </w:rPr>
        <w:t xml:space="preserve">. It focuses primarily on one institution in a specific geographic context, which may limit the generalizability of the findings. Future research should explore similar institutions across different regions to compare effectiveness, explore cultural variations, and validate the applicability of the experiential learning model in broader contexts. In addition, quantitative studies measuring long-term spiritual impact or behavioral changes among pilgrims post-Hajj would provide deeper insight into the sustainability of such guidance programs. These future directions are essential to further advance the academic and practical understanding of religious mentoring in the Hajj and </w:t>
      </w:r>
      <w:proofErr w:type="spellStart"/>
      <w:r w:rsidRPr="00400188">
        <w:rPr>
          <w:color w:val="auto"/>
        </w:rPr>
        <w:t>Umrah</w:t>
      </w:r>
      <w:proofErr w:type="spellEnd"/>
      <w:r w:rsidRPr="00400188">
        <w:rPr>
          <w:color w:val="auto"/>
        </w:rPr>
        <w:t xml:space="preserve"> context.</w:t>
      </w:r>
    </w:p>
    <w:p w:rsidR="00625243" w:rsidRPr="00400188" w:rsidRDefault="006C69E2" w:rsidP="00400188">
      <w:pPr>
        <w:spacing w:after="0" w:line="360" w:lineRule="auto"/>
        <w:ind w:left="14" w:firstLine="886"/>
        <w:rPr>
          <w:color w:val="auto"/>
        </w:rPr>
      </w:pPr>
      <w:r w:rsidRPr="00400188">
        <w:rPr>
          <w:b/>
          <w:color w:val="auto"/>
        </w:rPr>
        <w:t xml:space="preserve"> </w:t>
      </w:r>
    </w:p>
    <w:p w:rsidR="009A27D1" w:rsidRPr="00CB4323" w:rsidRDefault="009A27D1" w:rsidP="00400188">
      <w:pPr>
        <w:pStyle w:val="Heading1"/>
        <w:spacing w:after="0"/>
        <w:rPr>
          <w:color w:val="FF0000"/>
        </w:rPr>
      </w:pPr>
      <w:r w:rsidRPr="00CB4323">
        <w:rPr>
          <w:color w:val="FF0000"/>
        </w:rPr>
        <w:br w:type="page"/>
      </w:r>
    </w:p>
    <w:p w:rsidR="00625243" w:rsidRDefault="006C69E2" w:rsidP="00400188">
      <w:pPr>
        <w:pStyle w:val="Heading1"/>
        <w:spacing w:after="0"/>
        <w:jc w:val="center"/>
        <w:rPr>
          <w:color w:val="auto"/>
        </w:rPr>
      </w:pPr>
      <w:r w:rsidRPr="00400188">
        <w:rPr>
          <w:color w:val="auto"/>
        </w:rPr>
        <w:lastRenderedPageBreak/>
        <w:t>REFERENCES</w:t>
      </w:r>
    </w:p>
    <w:p w:rsidR="004F4410" w:rsidRPr="004F4410" w:rsidRDefault="004F4410" w:rsidP="004F4410">
      <w:bookmarkStart w:id="0" w:name="_GoBack"/>
      <w:bookmarkEnd w:id="0"/>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Adi Tri Eka. 2021, </w:t>
      </w:r>
      <w:r w:rsidRPr="00400188">
        <w:rPr>
          <w:rFonts w:eastAsia="Calibri"/>
          <w:i/>
          <w:color w:val="auto"/>
          <w:szCs w:val="24"/>
          <w:lang w:val="id-ID"/>
        </w:rPr>
        <w:t>Haji dan Umrah</w:t>
      </w:r>
      <w:r w:rsidRPr="00400188">
        <w:rPr>
          <w:rFonts w:eastAsia="Calibri"/>
          <w:color w:val="auto"/>
          <w:szCs w:val="24"/>
          <w:lang w:val="id-ID"/>
        </w:rPr>
        <w:t xml:space="preserve">, jakarta: Bhuana Ibnu Populer </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Ahmad kartono. 2023, </w:t>
      </w:r>
      <w:r w:rsidRPr="00400188">
        <w:rPr>
          <w:rFonts w:eastAsia="Calibri"/>
          <w:i/>
          <w:color w:val="auto"/>
          <w:szCs w:val="24"/>
          <w:lang w:val="id-ID"/>
        </w:rPr>
        <w:t>Fiqih Kontemporer Haji Dan Umrah</w:t>
      </w:r>
      <w:r w:rsidRPr="00400188">
        <w:rPr>
          <w:rFonts w:eastAsia="Calibri"/>
          <w:color w:val="auto"/>
          <w:szCs w:val="24"/>
          <w:lang w:val="id-ID"/>
        </w:rPr>
        <w:t xml:space="preserve"> Jakarta: Amzah </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Ahmad Alawiy. 2019,  </w:t>
      </w:r>
      <w:r w:rsidRPr="00400188">
        <w:rPr>
          <w:rFonts w:eastAsia="Calibri"/>
          <w:i/>
          <w:color w:val="auto"/>
          <w:szCs w:val="24"/>
          <w:lang w:val="id-ID"/>
        </w:rPr>
        <w:t>Panduan Umrah</w:t>
      </w:r>
      <w:r w:rsidRPr="00400188">
        <w:rPr>
          <w:rFonts w:eastAsia="Calibri"/>
          <w:color w:val="auto"/>
          <w:szCs w:val="24"/>
          <w:lang w:val="id-ID"/>
        </w:rPr>
        <w:t xml:space="preserve">, Sidoarjo: Genta Group Production </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Azizah Hefni dkk. 2020,  </w:t>
      </w:r>
      <w:r w:rsidRPr="00400188">
        <w:rPr>
          <w:rFonts w:eastAsia="Calibri"/>
          <w:i/>
          <w:color w:val="auto"/>
          <w:szCs w:val="24"/>
          <w:lang w:val="id-ID"/>
        </w:rPr>
        <w:t>Sawang Sinawang</w:t>
      </w:r>
      <w:r w:rsidRPr="00400188">
        <w:rPr>
          <w:rFonts w:eastAsia="Calibri"/>
          <w:color w:val="auto"/>
          <w:szCs w:val="24"/>
          <w:lang w:val="id-ID"/>
        </w:rPr>
        <w:t xml:space="preserve">, Suka Bumi: CV.Jejak </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A wahid. 2019, “Peranan Kelompok Manasik Haji (KBIH) Dalam Mencetak Kemandirian Jemaah Haji”, </w:t>
      </w:r>
      <w:r w:rsidRPr="00400188">
        <w:rPr>
          <w:rFonts w:eastAsia="Calibri"/>
          <w:i/>
          <w:color w:val="auto"/>
          <w:szCs w:val="24"/>
          <w:lang w:val="id-ID"/>
        </w:rPr>
        <w:t>jurnal pendidikan dan pranata</w:t>
      </w:r>
      <w:r w:rsidRPr="00400188">
        <w:rPr>
          <w:rFonts w:eastAsia="Calibri"/>
          <w:color w:val="auto"/>
          <w:szCs w:val="24"/>
          <w:lang w:val="id-ID"/>
        </w:rPr>
        <w:t xml:space="preserve">, volume 01, nomor 01 </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Ahmad Sarwat. 2019, </w:t>
      </w:r>
      <w:r w:rsidRPr="00400188">
        <w:rPr>
          <w:rFonts w:eastAsia="Calibri"/>
          <w:i/>
          <w:color w:val="auto"/>
          <w:szCs w:val="24"/>
          <w:lang w:val="id-ID"/>
        </w:rPr>
        <w:t>Manasik Haji</w:t>
      </w:r>
      <w:r w:rsidRPr="00400188">
        <w:rPr>
          <w:rFonts w:eastAsia="Calibri"/>
          <w:color w:val="auto"/>
          <w:szCs w:val="24"/>
          <w:lang w:val="id-ID"/>
        </w:rPr>
        <w:t xml:space="preserve">, Jakarta: Gramedia Pustaka </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Gus Arifin. 2018,  </w:t>
      </w:r>
      <w:r w:rsidRPr="00400188">
        <w:rPr>
          <w:rFonts w:eastAsia="Calibri"/>
          <w:i/>
          <w:color w:val="auto"/>
          <w:szCs w:val="24"/>
          <w:lang w:val="id-ID"/>
        </w:rPr>
        <w:t>Fiqih haji dan Umrah</w:t>
      </w:r>
      <w:r w:rsidRPr="00400188">
        <w:rPr>
          <w:rFonts w:eastAsia="Calibri"/>
          <w:color w:val="auto"/>
          <w:szCs w:val="24"/>
          <w:lang w:val="id-ID"/>
        </w:rPr>
        <w:t xml:space="preserve">, Jakarta: PT elex media komputindo </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Hamid. 2023,  “Strategi Manasik Haji Dan umrah” </w:t>
      </w:r>
      <w:r w:rsidRPr="00400188">
        <w:rPr>
          <w:rFonts w:eastAsia="Calibri"/>
          <w:i/>
          <w:color w:val="auto"/>
          <w:szCs w:val="24"/>
          <w:lang w:val="id-ID"/>
        </w:rPr>
        <w:t>jurnal Manajemen Dakwah,</w:t>
      </w:r>
      <w:r w:rsidRPr="00400188">
        <w:rPr>
          <w:rFonts w:eastAsia="Calibri"/>
          <w:color w:val="auto"/>
          <w:szCs w:val="24"/>
          <w:lang w:val="id-ID"/>
        </w:rPr>
        <w:t xml:space="preserve"> Volume 09, nomor 02</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H.muslim harahap. 2025, </w:t>
      </w:r>
      <w:r w:rsidRPr="00400188">
        <w:rPr>
          <w:rFonts w:eastAsia="Calibri"/>
          <w:i/>
          <w:color w:val="auto"/>
          <w:szCs w:val="24"/>
          <w:lang w:val="id-ID"/>
        </w:rPr>
        <w:t>Hasil Wawancara KBIHU Siti Khodijah</w:t>
      </w:r>
      <w:r w:rsidRPr="00400188">
        <w:rPr>
          <w:rFonts w:eastAsia="Calibri"/>
          <w:color w:val="auto"/>
          <w:szCs w:val="24"/>
          <w:lang w:val="id-ID"/>
        </w:rPr>
        <w:t xml:space="preserve">, ujung gurap: Padangsidimpuan </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Hj.Irma Suryani. 2025, </w:t>
      </w:r>
      <w:r w:rsidRPr="00400188">
        <w:rPr>
          <w:rFonts w:eastAsia="Calibri"/>
          <w:i/>
          <w:color w:val="auto"/>
          <w:szCs w:val="24"/>
          <w:lang w:val="id-ID"/>
        </w:rPr>
        <w:t>Visi Misi KBIHU Multazam Siti Khodijah</w:t>
      </w:r>
      <w:r w:rsidRPr="00400188">
        <w:rPr>
          <w:rFonts w:eastAsia="Calibri"/>
          <w:color w:val="auto"/>
          <w:szCs w:val="24"/>
          <w:lang w:val="id-ID"/>
        </w:rPr>
        <w:t xml:space="preserve">, Ujung Gurap: Padangsidimpuan  </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ab/>
        <w:t xml:space="preserve">Litnus. 2020, </w:t>
      </w:r>
      <w:r w:rsidRPr="00400188">
        <w:rPr>
          <w:rFonts w:eastAsia="Calibri"/>
          <w:i/>
          <w:color w:val="auto"/>
          <w:szCs w:val="24"/>
          <w:lang w:val="id-ID"/>
        </w:rPr>
        <w:t>Manajemen haji dan umrah</w:t>
      </w:r>
      <w:r w:rsidRPr="00400188">
        <w:rPr>
          <w:rFonts w:eastAsia="Calibri"/>
          <w:color w:val="auto"/>
          <w:szCs w:val="24"/>
          <w:lang w:val="id-ID"/>
        </w:rPr>
        <w:t>, jakarta: PT.Kencana</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Noor Hamid. 2020, </w:t>
      </w:r>
      <w:r w:rsidRPr="00400188">
        <w:rPr>
          <w:rFonts w:eastAsia="Calibri"/>
          <w:i/>
          <w:color w:val="auto"/>
          <w:szCs w:val="24"/>
          <w:lang w:val="id-ID"/>
        </w:rPr>
        <w:t>Manajemen haji dan umrah ,</w:t>
      </w:r>
      <w:r w:rsidRPr="00400188">
        <w:rPr>
          <w:rFonts w:eastAsia="Calibri"/>
          <w:color w:val="auto"/>
          <w:szCs w:val="24"/>
          <w:lang w:val="id-ID"/>
        </w:rPr>
        <w:t xml:space="preserve"> Bandung: Semesta Aksara </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ab/>
        <w:t xml:space="preserve">Qaisra M.Khan. 2022, </w:t>
      </w:r>
      <w:r w:rsidRPr="00400188">
        <w:rPr>
          <w:rFonts w:eastAsia="Calibri"/>
          <w:i/>
          <w:color w:val="auto"/>
          <w:szCs w:val="24"/>
          <w:lang w:val="id-ID"/>
        </w:rPr>
        <w:t>koleksi haji dan ziarah khalil</w:t>
      </w:r>
      <w:r w:rsidRPr="00400188">
        <w:rPr>
          <w:rFonts w:eastAsia="Calibri"/>
          <w:color w:val="auto"/>
          <w:szCs w:val="24"/>
          <w:lang w:val="id-ID"/>
        </w:rPr>
        <w:t>, Surabaya: PT Kencana 2022</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ab/>
        <w:t xml:space="preserve">Sari dan yunus. 2022, ” Manajemen Pelayanan Ibadah Haji” </w:t>
      </w:r>
      <w:r w:rsidRPr="00400188">
        <w:rPr>
          <w:rFonts w:eastAsia="Calibri"/>
          <w:i/>
          <w:color w:val="auto"/>
          <w:szCs w:val="24"/>
          <w:lang w:val="id-ID"/>
        </w:rPr>
        <w:t>jurnal Manajemen Dakwah</w:t>
      </w:r>
      <w:r w:rsidRPr="00400188">
        <w:rPr>
          <w:rFonts w:eastAsia="Calibri"/>
          <w:color w:val="auto"/>
          <w:szCs w:val="24"/>
          <w:lang w:val="id-ID"/>
        </w:rPr>
        <w:t>, volume 03, nomor 01</w:t>
      </w:r>
    </w:p>
    <w:p w:rsidR="00400188" w:rsidRPr="00400188" w:rsidRDefault="00400188" w:rsidP="00400188">
      <w:pPr>
        <w:spacing w:after="0" w:line="240" w:lineRule="auto"/>
        <w:ind w:left="720" w:hanging="720"/>
        <w:rPr>
          <w:rFonts w:eastAsia="Calibri"/>
          <w:color w:val="auto"/>
          <w:szCs w:val="24"/>
          <w:lang w:val="id-ID"/>
        </w:rPr>
      </w:pPr>
      <w:r w:rsidRPr="00400188">
        <w:rPr>
          <w:rFonts w:eastAsia="Calibri"/>
          <w:color w:val="auto"/>
          <w:szCs w:val="24"/>
          <w:lang w:val="id-ID"/>
        </w:rPr>
        <w:tab/>
        <w:t xml:space="preserve">Uhamka. 2020, </w:t>
      </w:r>
      <w:r w:rsidRPr="00400188">
        <w:rPr>
          <w:rFonts w:eastAsia="Calibri"/>
          <w:i/>
          <w:color w:val="auto"/>
          <w:szCs w:val="24"/>
          <w:lang w:val="id-ID"/>
        </w:rPr>
        <w:t>Manajemen penyelenggaraan ibadah haji menuju kemandirian</w:t>
      </w:r>
      <w:r w:rsidRPr="00400188">
        <w:rPr>
          <w:rFonts w:eastAsia="Calibri"/>
          <w:color w:val="auto"/>
          <w:szCs w:val="24"/>
          <w:lang w:val="id-ID"/>
        </w:rPr>
        <w:t xml:space="preserve">, Jakarta: Semesta aksara </w:t>
      </w:r>
    </w:p>
    <w:p w:rsidR="00740636" w:rsidRPr="00400188" w:rsidRDefault="00740636"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Kementerian Agama Republik Indonesia.  </w:t>
      </w:r>
      <w:r w:rsidRPr="00400188">
        <w:rPr>
          <w:rFonts w:eastAsia="Calibri"/>
          <w:i/>
          <w:iCs/>
          <w:color w:val="auto"/>
          <w:szCs w:val="24"/>
          <w:lang w:val="id-ID"/>
        </w:rPr>
        <w:t>Peraturan Menteri Agama Nomor 8 Tahun 2022 tentang Penyelenggaraan Ibadah Haji dan Umrah</w:t>
      </w:r>
      <w:r w:rsidRPr="00400188">
        <w:rPr>
          <w:rFonts w:eastAsia="Calibri"/>
          <w:b/>
          <w:bCs/>
          <w:i/>
          <w:iCs/>
          <w:color w:val="auto"/>
          <w:szCs w:val="24"/>
          <w:lang w:val="id-ID"/>
        </w:rPr>
        <w:t>.</w:t>
      </w:r>
      <w:r w:rsidRPr="00400188">
        <w:rPr>
          <w:rFonts w:eastAsia="Calibri"/>
          <w:color w:val="auto"/>
          <w:szCs w:val="24"/>
          <w:lang w:val="id-ID"/>
        </w:rPr>
        <w:t xml:space="preserve"> Jakarta: Kementerian Agama, 2022., hlm. 1-5</w:t>
      </w:r>
    </w:p>
    <w:p w:rsidR="00740636" w:rsidRPr="00400188" w:rsidRDefault="00740636" w:rsidP="00400188">
      <w:pPr>
        <w:autoSpaceDE w:val="0"/>
        <w:autoSpaceDN w:val="0"/>
        <w:adjustRightInd w:val="0"/>
        <w:spacing w:after="0" w:line="240" w:lineRule="auto"/>
        <w:ind w:left="720" w:hanging="720"/>
        <w:rPr>
          <w:rFonts w:eastAsia="Calibri"/>
          <w:color w:val="auto"/>
          <w:szCs w:val="24"/>
          <w:lang w:val="id-ID"/>
        </w:rPr>
      </w:pPr>
      <w:r w:rsidRPr="00400188">
        <w:rPr>
          <w:rFonts w:eastAsia="Calibri"/>
          <w:color w:val="auto"/>
          <w:szCs w:val="24"/>
          <w:lang w:val="id-ID"/>
        </w:rPr>
        <w:t xml:space="preserve">Kementerian Agama Republik Indonesia. (2022). </w:t>
      </w:r>
      <w:r w:rsidRPr="00400188">
        <w:rPr>
          <w:rFonts w:eastAsia="Calibri"/>
          <w:i/>
          <w:iCs/>
          <w:color w:val="auto"/>
          <w:szCs w:val="24"/>
          <w:lang w:val="id-ID"/>
        </w:rPr>
        <w:t>Peraturan Menteri Agama Nomor 8 Tahun 2022 tentang Penyelenggaraan Ibadah Haji dan Umrah</w:t>
      </w:r>
      <w:r w:rsidRPr="00400188">
        <w:rPr>
          <w:rFonts w:eastAsia="Calibri"/>
          <w:color w:val="auto"/>
          <w:szCs w:val="24"/>
          <w:lang w:val="id-ID"/>
        </w:rPr>
        <w:t xml:space="preserve">. Jakarta: Kementerian Agama, 2022., hlm. 7-15 </w:t>
      </w:r>
    </w:p>
    <w:p w:rsidR="00740636" w:rsidRPr="00400188" w:rsidRDefault="00740636" w:rsidP="00400188">
      <w:pPr>
        <w:spacing w:after="0" w:line="240" w:lineRule="auto"/>
        <w:ind w:left="720" w:hanging="720"/>
        <w:rPr>
          <w:rFonts w:eastAsia="Calibri"/>
          <w:color w:val="auto"/>
          <w:szCs w:val="24"/>
          <w:lang w:val="id-ID"/>
        </w:rPr>
      </w:pPr>
      <w:r w:rsidRPr="00400188">
        <w:rPr>
          <w:rFonts w:eastAsia="Calibri"/>
          <w:color w:val="auto"/>
          <w:szCs w:val="24"/>
          <w:lang w:val="id"/>
        </w:rPr>
        <w:t>Kementerian Agama Republik Indonesia. (2024). Panduan Manasik Umrah. Jakarta: Ditjen Penyelenggaraan Haji dan Umrah</w:t>
      </w:r>
      <w:r w:rsidRPr="00400188">
        <w:rPr>
          <w:rFonts w:eastAsia="Calibri"/>
          <w:color w:val="auto"/>
          <w:szCs w:val="24"/>
          <w:lang w:val="id-ID"/>
        </w:rPr>
        <w:t>, 2024,. hlm. 5</w:t>
      </w:r>
    </w:p>
    <w:p w:rsidR="00740636" w:rsidRPr="00400188" w:rsidRDefault="00740636"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 Kotler, P., &amp; Keller, K. L. (A Framework for Marketing Management (7th ed.). Pearson Education. 2021., hlm. 175-180 </w:t>
      </w:r>
    </w:p>
    <w:p w:rsidR="00740636" w:rsidRPr="00400188" w:rsidRDefault="00740636" w:rsidP="00400188">
      <w:pPr>
        <w:spacing w:after="0" w:line="240" w:lineRule="auto"/>
        <w:ind w:left="720" w:hanging="720"/>
        <w:rPr>
          <w:rFonts w:eastAsia="Calibri"/>
          <w:color w:val="auto"/>
          <w:szCs w:val="24"/>
          <w:lang w:val="id-ID"/>
        </w:rPr>
      </w:pPr>
      <w:r w:rsidRPr="00400188">
        <w:rPr>
          <w:rFonts w:eastAsia="Calibri"/>
          <w:color w:val="auto"/>
          <w:szCs w:val="24"/>
          <w:lang w:val="id-ID"/>
        </w:rPr>
        <w:t>Masyhuri, N.  Dinamika Kebijakan Penyelenggaraan Ibadah Haji dan Umroh di Indonesia</w:t>
      </w:r>
      <w:r w:rsidRPr="00400188">
        <w:rPr>
          <w:rFonts w:eastAsia="Calibri"/>
          <w:b/>
          <w:bCs/>
          <w:color w:val="auto"/>
          <w:szCs w:val="24"/>
          <w:lang w:val="id-ID"/>
        </w:rPr>
        <w:t>.</w:t>
      </w:r>
      <w:r w:rsidRPr="00400188">
        <w:rPr>
          <w:rFonts w:eastAsia="Calibri"/>
          <w:color w:val="auto"/>
          <w:szCs w:val="24"/>
          <w:lang w:val="id-ID"/>
        </w:rPr>
        <w:t xml:space="preserve"> </w:t>
      </w:r>
      <w:r w:rsidRPr="00400188">
        <w:rPr>
          <w:rFonts w:eastAsia="Calibri"/>
          <w:i/>
          <w:iCs/>
          <w:color w:val="auto"/>
          <w:szCs w:val="24"/>
          <w:lang w:val="id-ID"/>
        </w:rPr>
        <w:t>Jurnal Hukum Islam</w:t>
      </w:r>
      <w:r w:rsidRPr="00400188">
        <w:rPr>
          <w:rFonts w:eastAsia="Calibri"/>
          <w:color w:val="auto"/>
          <w:szCs w:val="24"/>
          <w:lang w:val="id-ID"/>
        </w:rPr>
        <w:t xml:space="preserve">, 2017., hlm. 1-20. </w:t>
      </w:r>
    </w:p>
    <w:p w:rsidR="00740636" w:rsidRPr="00400188" w:rsidRDefault="00740636" w:rsidP="00400188">
      <w:pPr>
        <w:widowControl w:val="0"/>
        <w:autoSpaceDE w:val="0"/>
        <w:autoSpaceDN w:val="0"/>
        <w:spacing w:after="0" w:line="240" w:lineRule="auto"/>
        <w:ind w:left="720" w:hanging="720"/>
        <w:rPr>
          <w:color w:val="auto"/>
          <w:szCs w:val="24"/>
        </w:rPr>
      </w:pPr>
      <w:r w:rsidRPr="00400188">
        <w:rPr>
          <w:color w:val="auto"/>
          <w:szCs w:val="24"/>
        </w:rPr>
        <w:t>Mega</w:t>
      </w:r>
      <w:r w:rsidRPr="00400188">
        <w:rPr>
          <w:color w:val="auto"/>
          <w:spacing w:val="-10"/>
          <w:szCs w:val="24"/>
        </w:rPr>
        <w:t xml:space="preserve"> </w:t>
      </w:r>
      <w:proofErr w:type="spellStart"/>
      <w:r w:rsidRPr="00400188">
        <w:rPr>
          <w:color w:val="auto"/>
          <w:szCs w:val="24"/>
        </w:rPr>
        <w:t>Utami</w:t>
      </w:r>
      <w:proofErr w:type="spellEnd"/>
      <w:r w:rsidRPr="00400188">
        <w:rPr>
          <w:color w:val="auto"/>
          <w:spacing w:val="-4"/>
          <w:szCs w:val="24"/>
        </w:rPr>
        <w:t xml:space="preserve"> </w:t>
      </w:r>
      <w:r w:rsidRPr="00400188">
        <w:rPr>
          <w:color w:val="auto"/>
          <w:szCs w:val="24"/>
        </w:rPr>
        <w:t>Maharani</w:t>
      </w:r>
      <w:r w:rsidRPr="00400188">
        <w:rPr>
          <w:color w:val="auto"/>
          <w:spacing w:val="-11"/>
          <w:szCs w:val="24"/>
        </w:rPr>
        <w:t xml:space="preserve"> </w:t>
      </w:r>
      <w:r w:rsidRPr="00400188">
        <w:rPr>
          <w:color w:val="auto"/>
          <w:szCs w:val="24"/>
        </w:rPr>
        <w:t>and</w:t>
      </w:r>
      <w:r w:rsidRPr="00400188">
        <w:rPr>
          <w:color w:val="auto"/>
          <w:spacing w:val="-7"/>
          <w:szCs w:val="24"/>
        </w:rPr>
        <w:t xml:space="preserve"> </w:t>
      </w:r>
      <w:r w:rsidRPr="00400188">
        <w:rPr>
          <w:color w:val="auto"/>
          <w:szCs w:val="24"/>
        </w:rPr>
        <w:t>others,</w:t>
      </w:r>
      <w:r w:rsidRPr="00400188">
        <w:rPr>
          <w:color w:val="auto"/>
          <w:spacing w:val="-6"/>
          <w:szCs w:val="24"/>
        </w:rPr>
        <w:t xml:space="preserve"> </w:t>
      </w:r>
      <w:r w:rsidRPr="00400188">
        <w:rPr>
          <w:color w:val="auto"/>
          <w:szCs w:val="24"/>
        </w:rPr>
        <w:t>‘</w:t>
      </w:r>
      <w:proofErr w:type="spellStart"/>
      <w:r w:rsidRPr="00400188">
        <w:rPr>
          <w:color w:val="auto"/>
          <w:szCs w:val="24"/>
        </w:rPr>
        <w:t>Strategi</w:t>
      </w:r>
      <w:proofErr w:type="spellEnd"/>
      <w:r w:rsidRPr="00400188">
        <w:rPr>
          <w:color w:val="auto"/>
          <w:spacing w:val="-11"/>
          <w:szCs w:val="24"/>
        </w:rPr>
        <w:t xml:space="preserve"> </w:t>
      </w:r>
      <w:proofErr w:type="spellStart"/>
      <w:r w:rsidRPr="00400188">
        <w:rPr>
          <w:color w:val="auto"/>
          <w:szCs w:val="24"/>
        </w:rPr>
        <w:t>Pemasaran</w:t>
      </w:r>
      <w:proofErr w:type="spellEnd"/>
      <w:r w:rsidRPr="00400188">
        <w:rPr>
          <w:color w:val="auto"/>
          <w:spacing w:val="-4"/>
          <w:szCs w:val="24"/>
        </w:rPr>
        <w:t xml:space="preserve"> </w:t>
      </w:r>
      <w:r w:rsidRPr="00400188">
        <w:rPr>
          <w:color w:val="auto"/>
          <w:szCs w:val="24"/>
        </w:rPr>
        <w:t>Biro</w:t>
      </w:r>
      <w:r w:rsidRPr="00400188">
        <w:rPr>
          <w:color w:val="auto"/>
          <w:spacing w:val="-11"/>
          <w:szCs w:val="24"/>
        </w:rPr>
        <w:t xml:space="preserve"> </w:t>
      </w:r>
      <w:proofErr w:type="spellStart"/>
      <w:r w:rsidRPr="00400188">
        <w:rPr>
          <w:color w:val="auto"/>
          <w:szCs w:val="24"/>
        </w:rPr>
        <w:t>Perjalanan</w:t>
      </w:r>
      <w:proofErr w:type="spellEnd"/>
      <w:r w:rsidRPr="00400188">
        <w:rPr>
          <w:color w:val="auto"/>
          <w:spacing w:val="-4"/>
          <w:szCs w:val="24"/>
        </w:rPr>
        <w:t xml:space="preserve"> </w:t>
      </w:r>
      <w:r w:rsidRPr="00400188">
        <w:rPr>
          <w:color w:val="auto"/>
          <w:szCs w:val="24"/>
        </w:rPr>
        <w:t>Haji</w:t>
      </w:r>
      <w:r w:rsidRPr="00400188">
        <w:rPr>
          <w:color w:val="auto"/>
          <w:spacing w:val="-7"/>
          <w:szCs w:val="24"/>
        </w:rPr>
        <w:t xml:space="preserve"> </w:t>
      </w:r>
      <w:proofErr w:type="spellStart"/>
      <w:r w:rsidRPr="00400188">
        <w:rPr>
          <w:color w:val="auto"/>
          <w:szCs w:val="24"/>
        </w:rPr>
        <w:t>Umroh</w:t>
      </w:r>
      <w:proofErr w:type="spellEnd"/>
      <w:r w:rsidRPr="00400188">
        <w:rPr>
          <w:color w:val="auto"/>
          <w:szCs w:val="24"/>
        </w:rPr>
        <w:t xml:space="preserve"> </w:t>
      </w:r>
      <w:proofErr w:type="spellStart"/>
      <w:r w:rsidRPr="00400188">
        <w:rPr>
          <w:color w:val="auto"/>
          <w:szCs w:val="24"/>
        </w:rPr>
        <w:t>Dalam</w:t>
      </w:r>
      <w:proofErr w:type="spellEnd"/>
      <w:r w:rsidRPr="00400188">
        <w:rPr>
          <w:color w:val="auto"/>
          <w:szCs w:val="24"/>
        </w:rPr>
        <w:t xml:space="preserve"> </w:t>
      </w:r>
      <w:proofErr w:type="spellStart"/>
      <w:r w:rsidRPr="00400188">
        <w:rPr>
          <w:color w:val="auto"/>
          <w:szCs w:val="24"/>
        </w:rPr>
        <w:t>Meningkatkan</w:t>
      </w:r>
      <w:proofErr w:type="spellEnd"/>
      <w:r w:rsidRPr="00400188">
        <w:rPr>
          <w:color w:val="auto"/>
          <w:szCs w:val="24"/>
        </w:rPr>
        <w:t xml:space="preserve"> </w:t>
      </w:r>
      <w:proofErr w:type="spellStart"/>
      <w:r w:rsidRPr="00400188">
        <w:rPr>
          <w:color w:val="auto"/>
          <w:szCs w:val="24"/>
        </w:rPr>
        <w:t>Minat</w:t>
      </w:r>
      <w:proofErr w:type="spellEnd"/>
      <w:r w:rsidRPr="00400188">
        <w:rPr>
          <w:color w:val="auto"/>
          <w:szCs w:val="24"/>
        </w:rPr>
        <w:t xml:space="preserve"> </w:t>
      </w:r>
      <w:proofErr w:type="spellStart"/>
      <w:r w:rsidRPr="00400188">
        <w:rPr>
          <w:color w:val="auto"/>
          <w:szCs w:val="24"/>
        </w:rPr>
        <w:t>Calon</w:t>
      </w:r>
      <w:proofErr w:type="spellEnd"/>
      <w:r w:rsidRPr="00400188">
        <w:rPr>
          <w:color w:val="auto"/>
          <w:szCs w:val="24"/>
        </w:rPr>
        <w:t xml:space="preserve"> Jemaah’, </w:t>
      </w:r>
      <w:proofErr w:type="spellStart"/>
      <w:r w:rsidRPr="00400188">
        <w:rPr>
          <w:i/>
          <w:color w:val="auto"/>
          <w:szCs w:val="24"/>
        </w:rPr>
        <w:t>Mabrur</w:t>
      </w:r>
      <w:proofErr w:type="spellEnd"/>
      <w:r w:rsidRPr="00400188">
        <w:rPr>
          <w:i/>
          <w:color w:val="auto"/>
          <w:szCs w:val="24"/>
        </w:rPr>
        <w:t xml:space="preserve">: Academic Journal of Hajj and </w:t>
      </w:r>
      <w:proofErr w:type="spellStart"/>
      <w:r w:rsidRPr="00400188">
        <w:rPr>
          <w:i/>
          <w:color w:val="auto"/>
          <w:szCs w:val="24"/>
        </w:rPr>
        <w:t>Umra</w:t>
      </w:r>
      <w:proofErr w:type="spellEnd"/>
      <w:r w:rsidRPr="00400188">
        <w:rPr>
          <w:color w:val="auto"/>
          <w:szCs w:val="24"/>
        </w:rPr>
        <w:t>, 1.1 (2022), pp. 85–106</w:t>
      </w:r>
    </w:p>
    <w:p w:rsidR="00740636" w:rsidRPr="00400188" w:rsidRDefault="00740636" w:rsidP="00400188">
      <w:pPr>
        <w:spacing w:after="0" w:line="240" w:lineRule="auto"/>
        <w:ind w:left="720" w:hanging="720"/>
        <w:rPr>
          <w:rFonts w:eastAsia="Calibri"/>
          <w:color w:val="auto"/>
          <w:szCs w:val="24"/>
          <w:lang w:val="id-ID"/>
        </w:rPr>
      </w:pPr>
      <w:r w:rsidRPr="00400188">
        <w:rPr>
          <w:rFonts w:eastAsia="Calibri"/>
          <w:color w:val="auto"/>
          <w:szCs w:val="24"/>
          <w:lang w:val="id-ID"/>
        </w:rPr>
        <w:t xml:space="preserve">Mia Lasmi Wardiah, </w:t>
      </w:r>
      <w:r w:rsidRPr="00400188">
        <w:rPr>
          <w:rFonts w:eastAsia="Calibri"/>
          <w:i/>
          <w:iCs/>
          <w:color w:val="auto"/>
          <w:szCs w:val="24"/>
          <w:lang w:val="id-ID"/>
        </w:rPr>
        <w:t>Teori Perilaku dan Budaya Organisasi</w:t>
      </w:r>
      <w:r w:rsidRPr="00400188">
        <w:rPr>
          <w:rFonts w:eastAsia="Calibri"/>
          <w:color w:val="auto"/>
          <w:szCs w:val="24"/>
          <w:lang w:val="id-ID"/>
        </w:rPr>
        <w:t>, Pusaka Setia, Bandung, 2016, hlm. 244.</w:t>
      </w:r>
    </w:p>
    <w:p w:rsidR="00740636" w:rsidRPr="00400188" w:rsidRDefault="00740636" w:rsidP="00400188">
      <w:pPr>
        <w:autoSpaceDE w:val="0"/>
        <w:autoSpaceDN w:val="0"/>
        <w:adjustRightInd w:val="0"/>
        <w:spacing w:after="0" w:line="240" w:lineRule="auto"/>
        <w:ind w:left="720" w:hanging="720"/>
        <w:rPr>
          <w:rFonts w:eastAsia="Calibri"/>
          <w:color w:val="auto"/>
          <w:szCs w:val="24"/>
          <w:lang w:val="id-ID"/>
        </w:rPr>
      </w:pPr>
      <w:r w:rsidRPr="00400188">
        <w:rPr>
          <w:rFonts w:eastAsia="Calibri"/>
          <w:color w:val="auto"/>
          <w:szCs w:val="24"/>
          <w:lang w:val="id"/>
        </w:rPr>
        <w:t>Moenir, A. S. (2005). Manajemen Pelayanan Umum di Indonesia. Jakarta: Bumi Aksara</w:t>
      </w:r>
      <w:r w:rsidRPr="00400188">
        <w:rPr>
          <w:rFonts w:eastAsia="Calibri"/>
          <w:color w:val="auto"/>
          <w:szCs w:val="24"/>
          <w:lang w:val="id-ID"/>
        </w:rPr>
        <w:t>, 2005., hlm. 16</w:t>
      </w:r>
    </w:p>
    <w:p w:rsidR="00740636" w:rsidRPr="00400188" w:rsidRDefault="00740636" w:rsidP="00400188">
      <w:pPr>
        <w:autoSpaceDE w:val="0"/>
        <w:autoSpaceDN w:val="0"/>
        <w:adjustRightInd w:val="0"/>
        <w:spacing w:after="0" w:line="240" w:lineRule="auto"/>
        <w:ind w:left="720" w:hanging="720"/>
        <w:rPr>
          <w:rFonts w:eastAsia="Calibri"/>
          <w:color w:val="auto"/>
          <w:szCs w:val="24"/>
          <w:lang w:val="id-ID"/>
        </w:rPr>
      </w:pPr>
      <w:r w:rsidRPr="00400188">
        <w:rPr>
          <w:rFonts w:eastAsia="Calibri"/>
          <w:color w:val="auto"/>
          <w:szCs w:val="24"/>
          <w:lang w:val="id-ID"/>
        </w:rPr>
        <w:lastRenderedPageBreak/>
        <w:t xml:space="preserve">Natsir, M., &amp; Sari, D. P.,  Kualitas Pelayanan Haji dan Umroh: Tinjauan dari Dimensi Tangibles, Reliability, Responsiveness, Assurance, dan Empathy. </w:t>
      </w:r>
      <w:r w:rsidRPr="00400188">
        <w:rPr>
          <w:rFonts w:eastAsia="Calibri"/>
          <w:i/>
          <w:iCs/>
          <w:color w:val="auto"/>
          <w:szCs w:val="24"/>
          <w:lang w:val="id-ID"/>
        </w:rPr>
        <w:t>Jurnal Manajemen Bisnis Syariah</w:t>
      </w:r>
      <w:r w:rsidRPr="00400188">
        <w:rPr>
          <w:rFonts w:eastAsia="Calibri"/>
          <w:color w:val="auto"/>
          <w:szCs w:val="24"/>
          <w:lang w:val="id-ID"/>
        </w:rPr>
        <w:t xml:space="preserve">, 2020,.  5(2), 150-165. </w:t>
      </w:r>
    </w:p>
    <w:p w:rsidR="00740636" w:rsidRPr="00400188" w:rsidRDefault="00740636" w:rsidP="00400188">
      <w:pPr>
        <w:spacing w:after="0" w:line="240" w:lineRule="auto"/>
        <w:ind w:left="720" w:hanging="720"/>
        <w:rPr>
          <w:rFonts w:eastAsia="Calibri"/>
          <w:i/>
          <w:color w:val="auto"/>
          <w:szCs w:val="24"/>
          <w:lang w:val="id-ID"/>
        </w:rPr>
      </w:pPr>
      <w:r w:rsidRPr="00400188">
        <w:rPr>
          <w:rFonts w:eastAsia="Calibri"/>
          <w:i/>
          <w:color w:val="auto"/>
          <w:szCs w:val="24"/>
          <w:lang w:val="id-ID"/>
        </w:rPr>
        <w:t>Pendidikan Sains Dan Komputer</w:t>
      </w:r>
      <w:r w:rsidRPr="00400188">
        <w:rPr>
          <w:rFonts w:eastAsia="Calibri"/>
          <w:color w:val="auto"/>
          <w:szCs w:val="24"/>
          <w:lang w:val="id-ID"/>
        </w:rPr>
        <w:t>, 3.01 (2022), pp. 1–9</w:t>
      </w:r>
    </w:p>
    <w:p w:rsidR="00740636" w:rsidRPr="00400188" w:rsidRDefault="00740636" w:rsidP="00400188">
      <w:pPr>
        <w:spacing w:after="0" w:line="240" w:lineRule="auto"/>
        <w:ind w:left="720" w:hanging="720"/>
        <w:rPr>
          <w:rFonts w:eastAsia="Calibri"/>
          <w:color w:val="auto"/>
          <w:szCs w:val="24"/>
          <w:lang w:val="id-ID"/>
        </w:rPr>
      </w:pPr>
      <w:r w:rsidRPr="00400188">
        <w:rPr>
          <w:rFonts w:eastAsia="Calibri"/>
          <w:color w:val="auto"/>
          <w:szCs w:val="24"/>
          <w:lang w:val="id"/>
        </w:rPr>
        <w:t>Pusat Bahasa Departemen Pendidikan Nasional. Kamus Besar Bahasa Indonesia. Jakarta</w:t>
      </w:r>
      <w:r w:rsidRPr="00400188">
        <w:rPr>
          <w:rFonts w:eastAsia="Calibri"/>
          <w:color w:val="auto"/>
          <w:szCs w:val="24"/>
          <w:lang w:val="id-ID"/>
        </w:rPr>
        <w:t xml:space="preserve"> </w:t>
      </w:r>
      <w:r w:rsidRPr="00400188">
        <w:rPr>
          <w:rFonts w:eastAsia="Calibri"/>
          <w:color w:val="auto"/>
          <w:szCs w:val="24"/>
          <w:lang w:val="id"/>
        </w:rPr>
        <w:t>: Balai Pustaka</w:t>
      </w:r>
      <w:r w:rsidRPr="00400188">
        <w:rPr>
          <w:rFonts w:eastAsia="Calibri"/>
          <w:color w:val="auto"/>
          <w:szCs w:val="24"/>
          <w:lang w:val="id-ID"/>
        </w:rPr>
        <w:t>, 2008., hlm. 828</w:t>
      </w:r>
    </w:p>
    <w:p w:rsidR="00740636" w:rsidRPr="00400188" w:rsidRDefault="00740636" w:rsidP="00400188">
      <w:pPr>
        <w:widowControl w:val="0"/>
        <w:autoSpaceDE w:val="0"/>
        <w:autoSpaceDN w:val="0"/>
        <w:spacing w:after="0" w:line="240" w:lineRule="auto"/>
        <w:ind w:left="720" w:hanging="720"/>
        <w:rPr>
          <w:color w:val="auto"/>
          <w:szCs w:val="24"/>
        </w:rPr>
      </w:pPr>
      <w:r w:rsidRPr="00400188">
        <w:rPr>
          <w:color w:val="auto"/>
          <w:szCs w:val="24"/>
        </w:rPr>
        <w:t>Sheila</w:t>
      </w:r>
      <w:r w:rsidRPr="00400188">
        <w:rPr>
          <w:color w:val="auto"/>
          <w:spacing w:val="-3"/>
          <w:szCs w:val="24"/>
        </w:rPr>
        <w:t xml:space="preserve"> </w:t>
      </w:r>
      <w:proofErr w:type="spellStart"/>
      <w:r w:rsidRPr="00400188">
        <w:rPr>
          <w:color w:val="auto"/>
          <w:szCs w:val="24"/>
        </w:rPr>
        <w:t>Novila</w:t>
      </w:r>
      <w:proofErr w:type="spellEnd"/>
      <w:r w:rsidRPr="00400188">
        <w:rPr>
          <w:color w:val="auto"/>
          <w:spacing w:val="-3"/>
          <w:szCs w:val="24"/>
        </w:rPr>
        <w:t xml:space="preserve"> </w:t>
      </w:r>
      <w:r w:rsidRPr="00400188">
        <w:rPr>
          <w:color w:val="auto"/>
          <w:szCs w:val="24"/>
        </w:rPr>
        <w:t>and</w:t>
      </w:r>
      <w:r w:rsidRPr="00400188">
        <w:rPr>
          <w:color w:val="auto"/>
          <w:spacing w:val="-3"/>
          <w:szCs w:val="24"/>
        </w:rPr>
        <w:t xml:space="preserve"> </w:t>
      </w:r>
      <w:r w:rsidRPr="00400188">
        <w:rPr>
          <w:color w:val="auto"/>
          <w:szCs w:val="24"/>
        </w:rPr>
        <w:t>Abdul</w:t>
      </w:r>
      <w:r w:rsidRPr="00400188">
        <w:rPr>
          <w:color w:val="auto"/>
          <w:spacing w:val="-9"/>
          <w:szCs w:val="24"/>
        </w:rPr>
        <w:t xml:space="preserve"> </w:t>
      </w:r>
      <w:proofErr w:type="spellStart"/>
      <w:r w:rsidRPr="00400188">
        <w:rPr>
          <w:color w:val="auto"/>
          <w:szCs w:val="24"/>
        </w:rPr>
        <w:t>Mujib</w:t>
      </w:r>
      <w:proofErr w:type="spellEnd"/>
      <w:r w:rsidRPr="00400188">
        <w:rPr>
          <w:color w:val="auto"/>
          <w:szCs w:val="24"/>
        </w:rPr>
        <w:t>,</w:t>
      </w:r>
      <w:r w:rsidRPr="00400188">
        <w:rPr>
          <w:color w:val="auto"/>
          <w:spacing w:val="-1"/>
          <w:szCs w:val="24"/>
        </w:rPr>
        <w:t xml:space="preserve"> </w:t>
      </w:r>
      <w:r w:rsidRPr="00400188">
        <w:rPr>
          <w:color w:val="auto"/>
          <w:szCs w:val="24"/>
        </w:rPr>
        <w:t>‘</w:t>
      </w:r>
      <w:proofErr w:type="spellStart"/>
      <w:r w:rsidRPr="00400188">
        <w:rPr>
          <w:color w:val="auto"/>
          <w:szCs w:val="24"/>
        </w:rPr>
        <w:t>Manajemen</w:t>
      </w:r>
      <w:proofErr w:type="spellEnd"/>
      <w:r w:rsidRPr="00400188">
        <w:rPr>
          <w:color w:val="auto"/>
          <w:spacing w:val="-2"/>
          <w:szCs w:val="24"/>
        </w:rPr>
        <w:t xml:space="preserve"> </w:t>
      </w:r>
      <w:proofErr w:type="spellStart"/>
      <w:r w:rsidRPr="00400188">
        <w:rPr>
          <w:color w:val="auto"/>
          <w:szCs w:val="24"/>
        </w:rPr>
        <w:t>Strategi</w:t>
      </w:r>
      <w:proofErr w:type="spellEnd"/>
      <w:r w:rsidRPr="00400188">
        <w:rPr>
          <w:color w:val="auto"/>
          <w:spacing w:val="-9"/>
          <w:szCs w:val="24"/>
        </w:rPr>
        <w:t xml:space="preserve"> </w:t>
      </w:r>
      <w:proofErr w:type="spellStart"/>
      <w:r w:rsidRPr="00400188">
        <w:rPr>
          <w:color w:val="auto"/>
          <w:szCs w:val="24"/>
        </w:rPr>
        <w:t>Pelayanan</w:t>
      </w:r>
      <w:proofErr w:type="spellEnd"/>
      <w:r w:rsidRPr="00400188">
        <w:rPr>
          <w:color w:val="auto"/>
          <w:szCs w:val="24"/>
        </w:rPr>
        <w:t xml:space="preserve"> Prima</w:t>
      </w:r>
      <w:r w:rsidRPr="00400188">
        <w:rPr>
          <w:color w:val="auto"/>
          <w:spacing w:val="-6"/>
          <w:szCs w:val="24"/>
        </w:rPr>
        <w:t xml:space="preserve"> </w:t>
      </w:r>
      <w:r w:rsidRPr="00400188">
        <w:rPr>
          <w:color w:val="auto"/>
          <w:szCs w:val="24"/>
        </w:rPr>
        <w:t>PT.</w:t>
      </w:r>
      <w:r w:rsidRPr="00400188">
        <w:rPr>
          <w:color w:val="auto"/>
          <w:spacing w:val="-7"/>
          <w:szCs w:val="24"/>
        </w:rPr>
        <w:t xml:space="preserve"> </w:t>
      </w:r>
      <w:r w:rsidRPr="00400188">
        <w:rPr>
          <w:color w:val="auto"/>
          <w:szCs w:val="24"/>
        </w:rPr>
        <w:t>Dago</w:t>
      </w:r>
      <w:r w:rsidRPr="00400188">
        <w:rPr>
          <w:color w:val="auto"/>
          <w:spacing w:val="-9"/>
          <w:szCs w:val="24"/>
        </w:rPr>
        <w:t xml:space="preserve"> </w:t>
      </w:r>
      <w:proofErr w:type="spellStart"/>
      <w:r w:rsidRPr="00400188">
        <w:rPr>
          <w:color w:val="auto"/>
          <w:szCs w:val="24"/>
        </w:rPr>
        <w:t>Wisata</w:t>
      </w:r>
      <w:proofErr w:type="spellEnd"/>
      <w:r w:rsidRPr="00400188">
        <w:rPr>
          <w:color w:val="auto"/>
          <w:szCs w:val="24"/>
        </w:rPr>
        <w:t xml:space="preserve"> </w:t>
      </w:r>
      <w:proofErr w:type="spellStart"/>
      <w:r w:rsidRPr="00400188">
        <w:rPr>
          <w:color w:val="auto"/>
          <w:spacing w:val="-2"/>
          <w:szCs w:val="24"/>
        </w:rPr>
        <w:t>Internasional</w:t>
      </w:r>
      <w:proofErr w:type="spellEnd"/>
      <w:r w:rsidRPr="00400188">
        <w:rPr>
          <w:color w:val="auto"/>
          <w:spacing w:val="-2"/>
          <w:szCs w:val="24"/>
        </w:rPr>
        <w:t xml:space="preserve"> </w:t>
      </w:r>
      <w:r w:rsidRPr="00400188">
        <w:rPr>
          <w:color w:val="auto"/>
          <w:szCs w:val="24"/>
          <w:lang w:val="id-ID"/>
        </w:rPr>
        <w:t xml:space="preserve">dalam </w:t>
      </w:r>
      <w:proofErr w:type="spellStart"/>
      <w:r w:rsidRPr="00400188">
        <w:rPr>
          <w:color w:val="auto"/>
          <w:spacing w:val="-2"/>
          <w:szCs w:val="24"/>
        </w:rPr>
        <w:t>Meningkatkan</w:t>
      </w:r>
      <w:proofErr w:type="spellEnd"/>
      <w:r w:rsidRPr="00400188">
        <w:rPr>
          <w:color w:val="auto"/>
          <w:spacing w:val="-2"/>
          <w:szCs w:val="24"/>
        </w:rPr>
        <w:t xml:space="preserve"> </w:t>
      </w:r>
      <w:proofErr w:type="spellStart"/>
      <w:r w:rsidRPr="00400188">
        <w:rPr>
          <w:color w:val="auto"/>
          <w:spacing w:val="-2"/>
          <w:szCs w:val="24"/>
        </w:rPr>
        <w:t>Kepuasan</w:t>
      </w:r>
      <w:proofErr w:type="spellEnd"/>
      <w:r w:rsidRPr="00400188">
        <w:rPr>
          <w:color w:val="auto"/>
          <w:spacing w:val="-2"/>
          <w:szCs w:val="24"/>
        </w:rPr>
        <w:t xml:space="preserve"> Jemaah Haji Dan</w:t>
      </w:r>
      <w:r w:rsidRPr="00400188">
        <w:rPr>
          <w:color w:val="auto"/>
          <w:spacing w:val="-3"/>
          <w:szCs w:val="24"/>
        </w:rPr>
        <w:t xml:space="preserve"> </w:t>
      </w:r>
      <w:proofErr w:type="spellStart"/>
      <w:r w:rsidRPr="00400188">
        <w:rPr>
          <w:color w:val="auto"/>
          <w:spacing w:val="-2"/>
          <w:szCs w:val="24"/>
        </w:rPr>
        <w:t>Umrah</w:t>
      </w:r>
      <w:proofErr w:type="spellEnd"/>
      <w:r w:rsidRPr="00400188">
        <w:rPr>
          <w:color w:val="auto"/>
          <w:spacing w:val="-2"/>
          <w:szCs w:val="24"/>
        </w:rPr>
        <w:t xml:space="preserve">’, </w:t>
      </w:r>
      <w:proofErr w:type="spellStart"/>
      <w:r w:rsidRPr="00400188">
        <w:rPr>
          <w:i/>
          <w:color w:val="auto"/>
          <w:spacing w:val="-2"/>
          <w:szCs w:val="24"/>
        </w:rPr>
        <w:t>Mabrur</w:t>
      </w:r>
      <w:proofErr w:type="spellEnd"/>
      <w:r w:rsidRPr="00400188">
        <w:rPr>
          <w:i/>
          <w:color w:val="auto"/>
          <w:spacing w:val="-2"/>
          <w:szCs w:val="24"/>
        </w:rPr>
        <w:t>:</w:t>
      </w:r>
      <w:r w:rsidRPr="00400188">
        <w:rPr>
          <w:i/>
          <w:color w:val="auto"/>
          <w:spacing w:val="-9"/>
          <w:szCs w:val="24"/>
        </w:rPr>
        <w:t xml:space="preserve"> </w:t>
      </w:r>
      <w:r w:rsidRPr="00400188">
        <w:rPr>
          <w:i/>
          <w:color w:val="auto"/>
          <w:spacing w:val="-2"/>
          <w:szCs w:val="24"/>
        </w:rPr>
        <w:t>Academic</w:t>
      </w:r>
      <w:r w:rsidRPr="00400188">
        <w:rPr>
          <w:i/>
          <w:color w:val="auto"/>
          <w:spacing w:val="-3"/>
          <w:szCs w:val="24"/>
        </w:rPr>
        <w:t xml:space="preserve"> </w:t>
      </w:r>
      <w:r w:rsidRPr="00400188">
        <w:rPr>
          <w:i/>
          <w:color w:val="auto"/>
          <w:spacing w:val="-2"/>
          <w:szCs w:val="24"/>
        </w:rPr>
        <w:t xml:space="preserve">Journal </w:t>
      </w:r>
      <w:r w:rsidRPr="00400188">
        <w:rPr>
          <w:i/>
          <w:color w:val="auto"/>
          <w:szCs w:val="24"/>
        </w:rPr>
        <w:t xml:space="preserve">of Hajj and </w:t>
      </w:r>
      <w:proofErr w:type="spellStart"/>
      <w:r w:rsidRPr="00400188">
        <w:rPr>
          <w:i/>
          <w:color w:val="auto"/>
          <w:szCs w:val="24"/>
        </w:rPr>
        <w:t>Umra</w:t>
      </w:r>
      <w:proofErr w:type="spellEnd"/>
      <w:r w:rsidRPr="00400188">
        <w:rPr>
          <w:color w:val="auto"/>
          <w:szCs w:val="24"/>
        </w:rPr>
        <w:t>, 1.2 (2023), pp. 137–54</w:t>
      </w:r>
    </w:p>
    <w:p w:rsidR="00740636" w:rsidRPr="00400188" w:rsidRDefault="00740636" w:rsidP="00400188">
      <w:pPr>
        <w:widowControl w:val="0"/>
        <w:autoSpaceDE w:val="0"/>
        <w:autoSpaceDN w:val="0"/>
        <w:spacing w:after="0" w:line="240" w:lineRule="auto"/>
        <w:ind w:left="720" w:hanging="720"/>
        <w:rPr>
          <w:color w:val="auto"/>
          <w:szCs w:val="24"/>
        </w:rPr>
      </w:pPr>
      <w:proofErr w:type="spellStart"/>
      <w:r w:rsidRPr="00400188">
        <w:rPr>
          <w:color w:val="auto"/>
          <w:szCs w:val="24"/>
        </w:rPr>
        <w:t>Siti</w:t>
      </w:r>
      <w:proofErr w:type="spellEnd"/>
      <w:r w:rsidRPr="00400188">
        <w:rPr>
          <w:color w:val="auto"/>
          <w:szCs w:val="24"/>
        </w:rPr>
        <w:t xml:space="preserve"> </w:t>
      </w:r>
      <w:proofErr w:type="spellStart"/>
      <w:r w:rsidRPr="00400188">
        <w:rPr>
          <w:color w:val="auto"/>
          <w:szCs w:val="24"/>
        </w:rPr>
        <w:t>Raudatul</w:t>
      </w:r>
      <w:proofErr w:type="spellEnd"/>
      <w:r w:rsidRPr="00400188">
        <w:rPr>
          <w:color w:val="auto"/>
          <w:szCs w:val="24"/>
        </w:rPr>
        <w:t xml:space="preserve"> </w:t>
      </w:r>
      <w:proofErr w:type="spellStart"/>
      <w:r w:rsidRPr="00400188">
        <w:rPr>
          <w:color w:val="auto"/>
          <w:szCs w:val="24"/>
        </w:rPr>
        <w:t>Firdausiyah</w:t>
      </w:r>
      <w:proofErr w:type="spellEnd"/>
      <w:r w:rsidRPr="00400188">
        <w:rPr>
          <w:color w:val="auto"/>
          <w:szCs w:val="24"/>
        </w:rPr>
        <w:t xml:space="preserve"> and</w:t>
      </w:r>
      <w:r w:rsidRPr="00400188">
        <w:rPr>
          <w:color w:val="auto"/>
          <w:spacing w:val="-5"/>
          <w:szCs w:val="24"/>
        </w:rPr>
        <w:t xml:space="preserve"> </w:t>
      </w:r>
      <w:r w:rsidRPr="00400188">
        <w:rPr>
          <w:color w:val="auto"/>
          <w:szCs w:val="24"/>
        </w:rPr>
        <w:t xml:space="preserve">Erin </w:t>
      </w:r>
      <w:proofErr w:type="spellStart"/>
      <w:r w:rsidRPr="00400188">
        <w:rPr>
          <w:color w:val="auto"/>
          <w:szCs w:val="24"/>
        </w:rPr>
        <w:t>Nur</w:t>
      </w:r>
      <w:proofErr w:type="spellEnd"/>
      <w:r w:rsidRPr="00400188">
        <w:rPr>
          <w:color w:val="auto"/>
          <w:szCs w:val="24"/>
        </w:rPr>
        <w:t xml:space="preserve"> </w:t>
      </w:r>
      <w:proofErr w:type="spellStart"/>
      <w:r w:rsidRPr="00400188">
        <w:rPr>
          <w:color w:val="auto"/>
          <w:szCs w:val="24"/>
        </w:rPr>
        <w:t>Putriani</w:t>
      </w:r>
      <w:proofErr w:type="spellEnd"/>
      <w:r w:rsidRPr="00400188">
        <w:rPr>
          <w:color w:val="auto"/>
          <w:szCs w:val="24"/>
        </w:rPr>
        <w:t>, ‘</w:t>
      </w:r>
      <w:proofErr w:type="spellStart"/>
      <w:r w:rsidRPr="00400188">
        <w:rPr>
          <w:color w:val="auto"/>
          <w:szCs w:val="24"/>
        </w:rPr>
        <w:t>Optimalisasi</w:t>
      </w:r>
      <w:proofErr w:type="spellEnd"/>
      <w:r w:rsidRPr="00400188">
        <w:rPr>
          <w:color w:val="auto"/>
          <w:szCs w:val="24"/>
        </w:rPr>
        <w:t xml:space="preserve"> </w:t>
      </w:r>
      <w:proofErr w:type="spellStart"/>
      <w:r w:rsidRPr="00400188">
        <w:rPr>
          <w:color w:val="auto"/>
          <w:szCs w:val="24"/>
        </w:rPr>
        <w:t>Pelayanan</w:t>
      </w:r>
      <w:proofErr w:type="spellEnd"/>
      <w:r w:rsidRPr="00400188">
        <w:rPr>
          <w:color w:val="auto"/>
          <w:szCs w:val="24"/>
        </w:rPr>
        <w:t xml:space="preserve"> </w:t>
      </w:r>
      <w:proofErr w:type="spellStart"/>
      <w:r w:rsidRPr="00400188">
        <w:rPr>
          <w:color w:val="auto"/>
          <w:szCs w:val="24"/>
        </w:rPr>
        <w:t>Administrasi</w:t>
      </w:r>
      <w:proofErr w:type="spellEnd"/>
      <w:r w:rsidRPr="00400188">
        <w:rPr>
          <w:color w:val="auto"/>
          <w:szCs w:val="24"/>
        </w:rPr>
        <w:t xml:space="preserve"> </w:t>
      </w:r>
      <w:proofErr w:type="spellStart"/>
      <w:r w:rsidRPr="00400188">
        <w:rPr>
          <w:color w:val="auto"/>
          <w:szCs w:val="24"/>
        </w:rPr>
        <w:t>Dalam</w:t>
      </w:r>
      <w:proofErr w:type="spellEnd"/>
      <w:r w:rsidRPr="00400188">
        <w:rPr>
          <w:color w:val="auto"/>
          <w:szCs w:val="24"/>
        </w:rPr>
        <w:t xml:space="preserve"> </w:t>
      </w:r>
      <w:proofErr w:type="spellStart"/>
      <w:r w:rsidRPr="00400188">
        <w:rPr>
          <w:color w:val="auto"/>
          <w:szCs w:val="24"/>
        </w:rPr>
        <w:t>Meningkatkan</w:t>
      </w:r>
      <w:proofErr w:type="spellEnd"/>
      <w:r w:rsidRPr="00400188">
        <w:rPr>
          <w:color w:val="auto"/>
          <w:szCs w:val="24"/>
        </w:rPr>
        <w:t xml:space="preserve"> </w:t>
      </w:r>
      <w:proofErr w:type="spellStart"/>
      <w:r w:rsidRPr="00400188">
        <w:rPr>
          <w:color w:val="auto"/>
          <w:szCs w:val="24"/>
        </w:rPr>
        <w:t>Kepuasan</w:t>
      </w:r>
      <w:proofErr w:type="spellEnd"/>
      <w:r w:rsidRPr="00400188">
        <w:rPr>
          <w:color w:val="auto"/>
          <w:szCs w:val="24"/>
        </w:rPr>
        <w:t xml:space="preserve"> </w:t>
      </w:r>
      <w:proofErr w:type="spellStart"/>
      <w:r w:rsidRPr="00400188">
        <w:rPr>
          <w:color w:val="auto"/>
          <w:szCs w:val="24"/>
        </w:rPr>
        <w:t>Calon</w:t>
      </w:r>
      <w:proofErr w:type="spellEnd"/>
      <w:r w:rsidRPr="00400188">
        <w:rPr>
          <w:color w:val="auto"/>
          <w:szCs w:val="24"/>
        </w:rPr>
        <w:t xml:space="preserve"> Jemaah Haji (</w:t>
      </w:r>
      <w:proofErr w:type="spellStart"/>
      <w:r w:rsidRPr="00400188">
        <w:rPr>
          <w:color w:val="auto"/>
          <w:szCs w:val="24"/>
        </w:rPr>
        <w:t>Studi</w:t>
      </w:r>
      <w:proofErr w:type="spellEnd"/>
      <w:r w:rsidRPr="00400188">
        <w:rPr>
          <w:color w:val="auto"/>
          <w:szCs w:val="24"/>
        </w:rPr>
        <w:t xml:space="preserve"> </w:t>
      </w:r>
      <w:proofErr w:type="spellStart"/>
      <w:r w:rsidRPr="00400188">
        <w:rPr>
          <w:color w:val="auto"/>
          <w:szCs w:val="24"/>
        </w:rPr>
        <w:t>Penyelenggara</w:t>
      </w:r>
      <w:proofErr w:type="spellEnd"/>
      <w:r w:rsidRPr="00400188">
        <w:rPr>
          <w:color w:val="auto"/>
          <w:szCs w:val="24"/>
        </w:rPr>
        <w:t xml:space="preserve"> Haji Dan </w:t>
      </w:r>
      <w:proofErr w:type="spellStart"/>
      <w:r w:rsidRPr="00400188">
        <w:rPr>
          <w:color w:val="auto"/>
          <w:szCs w:val="24"/>
        </w:rPr>
        <w:t>Umrah</w:t>
      </w:r>
      <w:proofErr w:type="spellEnd"/>
      <w:r w:rsidRPr="00400188">
        <w:rPr>
          <w:color w:val="auto"/>
          <w:szCs w:val="24"/>
        </w:rPr>
        <w:t xml:space="preserve"> </w:t>
      </w:r>
      <w:proofErr w:type="spellStart"/>
      <w:r w:rsidRPr="00400188">
        <w:rPr>
          <w:color w:val="auto"/>
          <w:szCs w:val="24"/>
        </w:rPr>
        <w:t>Kementerian</w:t>
      </w:r>
      <w:proofErr w:type="spellEnd"/>
      <w:r w:rsidRPr="00400188">
        <w:rPr>
          <w:color w:val="auto"/>
          <w:spacing w:val="-13"/>
          <w:szCs w:val="24"/>
        </w:rPr>
        <w:t xml:space="preserve"> </w:t>
      </w:r>
      <w:r w:rsidRPr="00400188">
        <w:rPr>
          <w:color w:val="auto"/>
          <w:szCs w:val="24"/>
        </w:rPr>
        <w:t>Agama</w:t>
      </w:r>
      <w:r w:rsidRPr="00400188">
        <w:rPr>
          <w:color w:val="auto"/>
          <w:spacing w:val="-12"/>
          <w:szCs w:val="24"/>
        </w:rPr>
        <w:t xml:space="preserve"> </w:t>
      </w:r>
      <w:proofErr w:type="spellStart"/>
      <w:r w:rsidRPr="00400188">
        <w:rPr>
          <w:color w:val="auto"/>
          <w:szCs w:val="24"/>
        </w:rPr>
        <w:t>Kabupaten</w:t>
      </w:r>
      <w:proofErr w:type="spellEnd"/>
      <w:r w:rsidRPr="00400188">
        <w:rPr>
          <w:color w:val="auto"/>
          <w:spacing w:val="-13"/>
          <w:szCs w:val="24"/>
        </w:rPr>
        <w:t xml:space="preserve"> </w:t>
      </w:r>
      <w:proofErr w:type="spellStart"/>
      <w:r w:rsidRPr="00400188">
        <w:rPr>
          <w:color w:val="auto"/>
          <w:szCs w:val="24"/>
        </w:rPr>
        <w:t>Probolinggo</w:t>
      </w:r>
      <w:proofErr w:type="spellEnd"/>
      <w:r w:rsidRPr="00400188">
        <w:rPr>
          <w:color w:val="auto"/>
          <w:szCs w:val="24"/>
        </w:rPr>
        <w:t>)’,</w:t>
      </w:r>
      <w:r w:rsidRPr="00400188">
        <w:rPr>
          <w:color w:val="auto"/>
          <w:spacing w:val="-12"/>
          <w:szCs w:val="24"/>
        </w:rPr>
        <w:t xml:space="preserve"> </w:t>
      </w:r>
      <w:r w:rsidRPr="00400188">
        <w:rPr>
          <w:i/>
          <w:color w:val="auto"/>
          <w:szCs w:val="24"/>
        </w:rPr>
        <w:t>Innovative:</w:t>
      </w:r>
      <w:r w:rsidRPr="00400188">
        <w:rPr>
          <w:i/>
          <w:color w:val="auto"/>
          <w:spacing w:val="-13"/>
          <w:szCs w:val="24"/>
        </w:rPr>
        <w:t xml:space="preserve"> </w:t>
      </w:r>
      <w:r w:rsidRPr="00400188">
        <w:rPr>
          <w:i/>
          <w:color w:val="auto"/>
          <w:szCs w:val="24"/>
        </w:rPr>
        <w:t>Journal</w:t>
      </w:r>
      <w:r w:rsidRPr="00400188">
        <w:rPr>
          <w:i/>
          <w:color w:val="auto"/>
          <w:spacing w:val="-12"/>
          <w:szCs w:val="24"/>
        </w:rPr>
        <w:t xml:space="preserve"> </w:t>
      </w:r>
      <w:r w:rsidRPr="00400188">
        <w:rPr>
          <w:i/>
          <w:color w:val="auto"/>
          <w:szCs w:val="24"/>
        </w:rPr>
        <w:t>Of</w:t>
      </w:r>
      <w:r w:rsidRPr="00400188">
        <w:rPr>
          <w:i/>
          <w:color w:val="auto"/>
          <w:spacing w:val="-13"/>
          <w:szCs w:val="24"/>
        </w:rPr>
        <w:t xml:space="preserve"> </w:t>
      </w:r>
      <w:r w:rsidRPr="00400188">
        <w:rPr>
          <w:i/>
          <w:color w:val="auto"/>
          <w:szCs w:val="24"/>
        </w:rPr>
        <w:t>Social</w:t>
      </w:r>
      <w:r w:rsidRPr="00400188">
        <w:rPr>
          <w:i/>
          <w:color w:val="auto"/>
          <w:spacing w:val="-12"/>
          <w:szCs w:val="24"/>
        </w:rPr>
        <w:t xml:space="preserve"> </w:t>
      </w:r>
      <w:r w:rsidRPr="00400188">
        <w:rPr>
          <w:i/>
          <w:color w:val="auto"/>
          <w:szCs w:val="24"/>
        </w:rPr>
        <w:t>Science</w:t>
      </w:r>
      <w:r w:rsidRPr="00400188">
        <w:rPr>
          <w:i/>
          <w:color w:val="auto"/>
          <w:spacing w:val="-13"/>
          <w:szCs w:val="24"/>
        </w:rPr>
        <w:t xml:space="preserve"> </w:t>
      </w:r>
      <w:r w:rsidRPr="00400188">
        <w:rPr>
          <w:i/>
          <w:color w:val="auto"/>
          <w:szCs w:val="24"/>
        </w:rPr>
        <w:t>Research</w:t>
      </w:r>
      <w:r w:rsidRPr="00400188">
        <w:rPr>
          <w:color w:val="auto"/>
          <w:szCs w:val="24"/>
        </w:rPr>
        <w:t>,</w:t>
      </w:r>
      <w:r w:rsidRPr="00400188">
        <w:rPr>
          <w:color w:val="auto"/>
          <w:spacing w:val="-12"/>
          <w:szCs w:val="24"/>
        </w:rPr>
        <w:t xml:space="preserve"> </w:t>
      </w:r>
      <w:r w:rsidRPr="00400188">
        <w:rPr>
          <w:color w:val="auto"/>
          <w:szCs w:val="24"/>
        </w:rPr>
        <w:t>4.3 (2024), pp. 13556–73</w:t>
      </w:r>
    </w:p>
    <w:p w:rsidR="00740636" w:rsidRPr="00400188" w:rsidRDefault="00740636" w:rsidP="00400188">
      <w:pPr>
        <w:spacing w:after="0" w:line="240" w:lineRule="auto"/>
        <w:ind w:left="720" w:hanging="720"/>
        <w:rPr>
          <w:rFonts w:eastAsia="Calibri"/>
          <w:color w:val="auto"/>
          <w:szCs w:val="24"/>
          <w:lang w:val="id-ID"/>
        </w:rPr>
      </w:pPr>
      <w:r w:rsidRPr="00400188">
        <w:rPr>
          <w:rFonts w:eastAsia="Calibri"/>
          <w:color w:val="auto"/>
          <w:szCs w:val="24"/>
          <w:lang w:val="id-ID"/>
        </w:rPr>
        <w:t>Sumarwan, U. (2019).</w:t>
      </w:r>
      <w:r w:rsidRPr="00400188">
        <w:rPr>
          <w:rFonts w:eastAsia="Calibri"/>
          <w:b/>
          <w:bCs/>
          <w:color w:val="auto"/>
          <w:szCs w:val="24"/>
          <w:lang w:val="id-ID"/>
        </w:rPr>
        <w:t xml:space="preserve"> </w:t>
      </w:r>
      <w:r w:rsidRPr="00400188">
        <w:rPr>
          <w:rFonts w:eastAsia="Calibri"/>
          <w:i/>
          <w:iCs/>
          <w:color w:val="auto"/>
          <w:szCs w:val="24"/>
          <w:lang w:val="id-ID"/>
        </w:rPr>
        <w:t>Perilaku Konsumen: Teori dan Penerapannya dalam Pemasaran</w:t>
      </w:r>
      <w:r w:rsidRPr="00400188">
        <w:rPr>
          <w:rFonts w:eastAsia="Calibri"/>
          <w:b/>
          <w:bCs/>
          <w:i/>
          <w:iCs/>
          <w:color w:val="auto"/>
          <w:szCs w:val="24"/>
          <w:lang w:val="id-ID"/>
        </w:rPr>
        <w:t xml:space="preserve"> </w:t>
      </w:r>
      <w:r w:rsidRPr="00400188">
        <w:rPr>
          <w:rFonts w:eastAsia="Calibri"/>
          <w:i/>
          <w:iCs/>
          <w:color w:val="auto"/>
          <w:szCs w:val="24"/>
          <w:lang w:val="id-ID"/>
        </w:rPr>
        <w:t>(Edisi 3).</w:t>
      </w:r>
      <w:r w:rsidRPr="00400188">
        <w:rPr>
          <w:rFonts w:eastAsia="Calibri"/>
          <w:color w:val="auto"/>
          <w:szCs w:val="24"/>
          <w:lang w:val="id-ID"/>
        </w:rPr>
        <w:t xml:space="preserve"> Bogor: Ghalia Indonesia, 2019., hlm. 230-235</w:t>
      </w:r>
    </w:p>
    <w:p w:rsidR="00740636" w:rsidRPr="00400188" w:rsidRDefault="00740636" w:rsidP="00400188">
      <w:pPr>
        <w:widowControl w:val="0"/>
        <w:autoSpaceDE w:val="0"/>
        <w:autoSpaceDN w:val="0"/>
        <w:spacing w:after="0" w:line="240" w:lineRule="auto"/>
        <w:ind w:left="720" w:hanging="720"/>
        <w:rPr>
          <w:color w:val="auto"/>
          <w:szCs w:val="24"/>
        </w:rPr>
      </w:pPr>
      <w:proofErr w:type="spellStart"/>
      <w:r w:rsidRPr="00400188">
        <w:rPr>
          <w:color w:val="auto"/>
          <w:szCs w:val="24"/>
        </w:rPr>
        <w:t>Wulandari</w:t>
      </w:r>
      <w:proofErr w:type="spellEnd"/>
      <w:r w:rsidRPr="00400188">
        <w:rPr>
          <w:color w:val="auto"/>
          <w:spacing w:val="4"/>
          <w:szCs w:val="24"/>
        </w:rPr>
        <w:t xml:space="preserve"> </w:t>
      </w:r>
      <w:r w:rsidRPr="00400188">
        <w:rPr>
          <w:color w:val="auto"/>
          <w:szCs w:val="24"/>
        </w:rPr>
        <w:t>and</w:t>
      </w:r>
      <w:r w:rsidRPr="00400188">
        <w:rPr>
          <w:color w:val="auto"/>
          <w:spacing w:val="8"/>
          <w:szCs w:val="24"/>
        </w:rPr>
        <w:t xml:space="preserve"> </w:t>
      </w:r>
      <w:proofErr w:type="spellStart"/>
      <w:r w:rsidRPr="00400188">
        <w:rPr>
          <w:color w:val="auto"/>
          <w:szCs w:val="24"/>
        </w:rPr>
        <w:t>Kartika</w:t>
      </w:r>
      <w:proofErr w:type="spellEnd"/>
      <w:r w:rsidRPr="00400188">
        <w:rPr>
          <w:color w:val="auto"/>
          <w:spacing w:val="10"/>
          <w:szCs w:val="24"/>
        </w:rPr>
        <w:t xml:space="preserve"> </w:t>
      </w:r>
      <w:proofErr w:type="spellStart"/>
      <w:r w:rsidRPr="00400188">
        <w:rPr>
          <w:color w:val="auto"/>
          <w:szCs w:val="24"/>
        </w:rPr>
        <w:t>Utami</w:t>
      </w:r>
      <w:proofErr w:type="spellEnd"/>
      <w:r w:rsidRPr="00400188">
        <w:rPr>
          <w:color w:val="auto"/>
          <w:szCs w:val="24"/>
        </w:rPr>
        <w:t>,</w:t>
      </w:r>
      <w:r w:rsidRPr="00400188">
        <w:rPr>
          <w:color w:val="auto"/>
          <w:spacing w:val="13"/>
          <w:szCs w:val="24"/>
        </w:rPr>
        <w:t xml:space="preserve"> </w:t>
      </w:r>
      <w:r w:rsidRPr="00400188">
        <w:rPr>
          <w:color w:val="auto"/>
          <w:szCs w:val="24"/>
        </w:rPr>
        <w:t>‘</w:t>
      </w:r>
      <w:proofErr w:type="spellStart"/>
      <w:r w:rsidRPr="00400188">
        <w:rPr>
          <w:color w:val="auto"/>
          <w:szCs w:val="24"/>
        </w:rPr>
        <w:t>Evaluasi</w:t>
      </w:r>
      <w:proofErr w:type="spellEnd"/>
      <w:r w:rsidRPr="00400188">
        <w:rPr>
          <w:color w:val="auto"/>
          <w:spacing w:val="11"/>
          <w:szCs w:val="24"/>
        </w:rPr>
        <w:t xml:space="preserve"> </w:t>
      </w:r>
      <w:proofErr w:type="spellStart"/>
      <w:r w:rsidRPr="00400188">
        <w:rPr>
          <w:color w:val="auto"/>
          <w:szCs w:val="24"/>
        </w:rPr>
        <w:t>Pelayanan</w:t>
      </w:r>
      <w:proofErr w:type="spellEnd"/>
      <w:r w:rsidRPr="00400188">
        <w:rPr>
          <w:color w:val="auto"/>
          <w:spacing w:val="14"/>
          <w:szCs w:val="24"/>
        </w:rPr>
        <w:t xml:space="preserve"> </w:t>
      </w:r>
      <w:r w:rsidRPr="00400188">
        <w:rPr>
          <w:color w:val="auto"/>
          <w:szCs w:val="24"/>
        </w:rPr>
        <w:t>Tour</w:t>
      </w:r>
      <w:r w:rsidRPr="00400188">
        <w:rPr>
          <w:color w:val="auto"/>
          <w:spacing w:val="12"/>
          <w:szCs w:val="24"/>
        </w:rPr>
        <w:t xml:space="preserve"> </w:t>
      </w:r>
      <w:r w:rsidRPr="00400188">
        <w:rPr>
          <w:color w:val="auto"/>
          <w:szCs w:val="24"/>
        </w:rPr>
        <w:t>Leader</w:t>
      </w:r>
      <w:r w:rsidRPr="00400188">
        <w:rPr>
          <w:color w:val="auto"/>
          <w:spacing w:val="16"/>
          <w:szCs w:val="24"/>
        </w:rPr>
        <w:t xml:space="preserve"> </w:t>
      </w:r>
      <w:r w:rsidRPr="00400188">
        <w:rPr>
          <w:color w:val="auto"/>
          <w:szCs w:val="24"/>
        </w:rPr>
        <w:t>PT</w:t>
      </w:r>
      <w:r w:rsidRPr="00400188">
        <w:rPr>
          <w:color w:val="auto"/>
          <w:spacing w:val="8"/>
          <w:szCs w:val="24"/>
        </w:rPr>
        <w:t xml:space="preserve"> </w:t>
      </w:r>
      <w:r w:rsidRPr="00400188">
        <w:rPr>
          <w:color w:val="auto"/>
          <w:szCs w:val="24"/>
        </w:rPr>
        <w:t>Al</w:t>
      </w:r>
      <w:r w:rsidRPr="00400188">
        <w:rPr>
          <w:color w:val="auto"/>
          <w:spacing w:val="8"/>
          <w:szCs w:val="24"/>
        </w:rPr>
        <w:t xml:space="preserve"> </w:t>
      </w:r>
      <w:proofErr w:type="spellStart"/>
      <w:r w:rsidRPr="00400188">
        <w:rPr>
          <w:color w:val="auto"/>
          <w:szCs w:val="24"/>
        </w:rPr>
        <w:t>Hijaz</w:t>
      </w:r>
      <w:proofErr w:type="spellEnd"/>
      <w:r w:rsidRPr="00400188">
        <w:rPr>
          <w:color w:val="auto"/>
          <w:spacing w:val="10"/>
          <w:szCs w:val="24"/>
        </w:rPr>
        <w:t xml:space="preserve"> </w:t>
      </w:r>
      <w:proofErr w:type="spellStart"/>
      <w:r w:rsidRPr="00400188">
        <w:rPr>
          <w:color w:val="auto"/>
          <w:spacing w:val="-2"/>
          <w:szCs w:val="24"/>
        </w:rPr>
        <w:t>Terhadap</w:t>
      </w:r>
      <w:proofErr w:type="spellEnd"/>
    </w:p>
    <w:p w:rsidR="00740636" w:rsidRPr="00CB4323" w:rsidRDefault="00740636" w:rsidP="00400188">
      <w:pPr>
        <w:spacing w:after="0" w:line="240" w:lineRule="auto"/>
        <w:ind w:left="540" w:hanging="540"/>
        <w:rPr>
          <w:color w:val="FF0000"/>
        </w:rPr>
      </w:pPr>
    </w:p>
    <w:sectPr w:rsidR="00740636" w:rsidRPr="00CB4323" w:rsidSect="004F4410">
      <w:headerReference w:type="even" r:id="rId10"/>
      <w:headerReference w:type="default" r:id="rId11"/>
      <w:footerReference w:type="even" r:id="rId12"/>
      <w:footerReference w:type="default" r:id="rId13"/>
      <w:headerReference w:type="first" r:id="rId14"/>
      <w:footerReference w:type="first" r:id="rId15"/>
      <w:pgSz w:w="12240" w:h="15840"/>
      <w:pgMar w:top="2640" w:right="1435" w:bottom="1487" w:left="1426" w:header="41" w:footer="726" w:gutter="0"/>
      <w:pgNumType w:start="2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5DA" w:rsidRDefault="004535DA">
      <w:pPr>
        <w:spacing w:after="0" w:line="240" w:lineRule="auto"/>
      </w:pPr>
      <w:r>
        <w:separator/>
      </w:r>
    </w:p>
  </w:endnote>
  <w:endnote w:type="continuationSeparator" w:id="0">
    <w:p w:rsidR="004535DA" w:rsidRDefault="0045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gona Book">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Lato">
    <w:altName w:val="Times New Roman"/>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243" w:rsidRDefault="006C69E2">
    <w:pPr>
      <w:spacing w:after="0" w:line="240" w:lineRule="auto"/>
      <w:ind w:left="0" w:firstLine="0"/>
      <w:jc w:val="center"/>
    </w:pPr>
    <w:r>
      <w:fldChar w:fldCharType="begin"/>
    </w:r>
    <w:r>
      <w:instrText xml:space="preserve"> PAGE   \* MERGEFORMAT </w:instrText>
    </w:r>
    <w:r>
      <w:fldChar w:fldCharType="separate"/>
    </w:r>
    <w:r>
      <w:t>53</w:t>
    </w:r>
    <w:r>
      <w:fldChar w:fldCharType="end"/>
    </w:r>
    <w:r>
      <w:t xml:space="preserve"> </w:t>
    </w:r>
  </w:p>
  <w:p w:rsidR="00625243" w:rsidRDefault="006C69E2">
    <w:pPr>
      <w:spacing w:after="0" w:line="240"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D1" w:rsidRDefault="009A27D1">
    <w:pPr>
      <w:spacing w:after="0" w:line="240" w:lineRule="auto"/>
      <w:ind w:left="0" w:firstLine="0"/>
      <w:jc w:val="center"/>
    </w:pPr>
  </w:p>
  <w:p w:rsidR="00625243" w:rsidRDefault="006C69E2">
    <w:pPr>
      <w:spacing w:after="0" w:line="240" w:lineRule="auto"/>
      <w:ind w:left="0" w:firstLine="0"/>
      <w:jc w:val="center"/>
    </w:pPr>
    <w:r>
      <w:fldChar w:fldCharType="begin"/>
    </w:r>
    <w:r>
      <w:instrText xml:space="preserve"> PAGE   \* MERGEFORMAT </w:instrText>
    </w:r>
    <w:r>
      <w:fldChar w:fldCharType="separate"/>
    </w:r>
    <w:r w:rsidR="004F4410">
      <w:rPr>
        <w:noProof/>
      </w:rPr>
      <w:t>36</w:t>
    </w:r>
    <w:r>
      <w:fldChar w:fldCharType="end"/>
    </w:r>
    <w:r>
      <w:t xml:space="preserve"> </w:t>
    </w:r>
  </w:p>
  <w:p w:rsidR="009A27D1" w:rsidRPr="009A27D1" w:rsidRDefault="009A27D1" w:rsidP="009A27D1">
    <w:pPr>
      <w:pBdr>
        <w:top w:val="nil"/>
        <w:left w:val="nil"/>
        <w:bottom w:val="nil"/>
        <w:right w:val="nil"/>
        <w:between w:val="nil"/>
      </w:pBdr>
      <w:tabs>
        <w:tab w:val="center" w:pos="4513"/>
        <w:tab w:val="right" w:pos="9026"/>
      </w:tabs>
      <w:spacing w:before="120" w:after="0" w:line="240" w:lineRule="auto"/>
      <w:ind w:left="0" w:firstLine="0"/>
      <w:jc w:val="right"/>
      <w:rPr>
        <w:sz w:val="20"/>
        <w:szCs w:val="18"/>
        <w:lang w:eastAsia="en-MY"/>
      </w:rPr>
    </w:pPr>
    <w:r w:rsidRPr="009A27D1">
      <w:rPr>
        <w:sz w:val="20"/>
        <w:szCs w:val="18"/>
        <w:lang w:eastAsia="en-MY"/>
      </w:rPr>
      <w:t>Copyright © 202</w:t>
    </w:r>
    <w:r w:rsidR="0016009C">
      <w:rPr>
        <w:sz w:val="20"/>
        <w:szCs w:val="18"/>
        <w:lang w:eastAsia="en-MY"/>
      </w:rPr>
      <w:t>5</w:t>
    </w:r>
  </w:p>
  <w:p w:rsidR="009A27D1" w:rsidRPr="009A27D1" w:rsidRDefault="009A27D1" w:rsidP="009A27D1">
    <w:pPr>
      <w:tabs>
        <w:tab w:val="center" w:pos="4513"/>
        <w:tab w:val="right" w:pos="9026"/>
      </w:tabs>
      <w:spacing w:after="0" w:line="240" w:lineRule="auto"/>
      <w:ind w:left="0" w:firstLine="0"/>
      <w:jc w:val="right"/>
      <w:rPr>
        <w:color w:val="auto"/>
        <w:sz w:val="28"/>
        <w:szCs w:val="24"/>
        <w:lang w:eastAsia="en-MY"/>
      </w:rPr>
    </w:pPr>
    <w:r w:rsidRPr="009A27D1">
      <w:rPr>
        <w:sz w:val="20"/>
        <w:szCs w:val="18"/>
        <w:lang w:eastAsia="en-MY"/>
      </w:rPr>
      <w:t>ISSN 2775-1554 (online)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D1" w:rsidRDefault="009A27D1">
    <w:pPr>
      <w:spacing w:after="0" w:line="240" w:lineRule="auto"/>
      <w:ind w:left="0" w:firstLine="0"/>
      <w:jc w:val="center"/>
    </w:pPr>
  </w:p>
  <w:p w:rsidR="00625243" w:rsidRDefault="006C69E2">
    <w:pPr>
      <w:spacing w:after="0" w:line="240" w:lineRule="auto"/>
      <w:ind w:left="0" w:firstLine="0"/>
      <w:jc w:val="center"/>
    </w:pPr>
    <w:r>
      <w:fldChar w:fldCharType="begin"/>
    </w:r>
    <w:r>
      <w:instrText xml:space="preserve"> PAGE   \* MERGEFORMAT </w:instrText>
    </w:r>
    <w:r>
      <w:fldChar w:fldCharType="separate"/>
    </w:r>
    <w:r w:rsidR="004F4410">
      <w:rPr>
        <w:noProof/>
      </w:rPr>
      <w:t>27</w:t>
    </w:r>
    <w:r>
      <w:fldChar w:fldCharType="end"/>
    </w:r>
    <w:r>
      <w:t xml:space="preserve"> </w:t>
    </w:r>
  </w:p>
  <w:p w:rsidR="009A27D1" w:rsidRPr="009A27D1" w:rsidRDefault="009A27D1" w:rsidP="009A27D1">
    <w:pPr>
      <w:autoSpaceDE w:val="0"/>
      <w:autoSpaceDN w:val="0"/>
      <w:spacing w:before="120" w:after="0" w:line="240" w:lineRule="auto"/>
      <w:ind w:left="0" w:firstLine="0"/>
      <w:jc w:val="right"/>
      <w:rPr>
        <w:rFonts w:ascii="Sagona Book" w:hAnsi="Sagona Book" w:cs="Arial"/>
        <w:noProof/>
        <w:color w:val="auto"/>
        <w:sz w:val="16"/>
        <w:szCs w:val="18"/>
      </w:rPr>
    </w:pPr>
    <w:r w:rsidRPr="009A27D1">
      <w:rPr>
        <w:rFonts w:ascii="Sagona Book" w:hAnsi="Sagona Book" w:cs="Arial"/>
        <w:noProof/>
        <w:color w:val="auto"/>
        <w:sz w:val="16"/>
        <w:szCs w:val="18"/>
      </w:rPr>
      <w:t xml:space="preserve">This is an open access article under the </w:t>
    </w:r>
    <w:hyperlink r:id="rId1" w:history="1">
      <w:r w:rsidRPr="009A27D1">
        <w:rPr>
          <w:rFonts w:ascii="Sagona Book" w:hAnsi="Sagona Book" w:cs="Arial"/>
          <w:noProof/>
          <w:color w:val="0000FF"/>
          <w:sz w:val="16"/>
          <w:szCs w:val="18"/>
        </w:rPr>
        <w:t>CC–BY-SA</w:t>
      </w:r>
    </w:hyperlink>
    <w:r w:rsidRPr="009A27D1">
      <w:rPr>
        <w:rFonts w:ascii="Sagona Book" w:hAnsi="Sagona Book" w:cs="Arial"/>
        <w:noProof/>
        <w:color w:val="auto"/>
        <w:sz w:val="16"/>
        <w:szCs w:val="18"/>
      </w:rPr>
      <w:t xml:space="preserve"> license.</w:t>
    </w:r>
  </w:p>
  <w:p w:rsidR="009A27D1" w:rsidRPr="009A27D1" w:rsidRDefault="009A27D1" w:rsidP="009A27D1">
    <w:pPr>
      <w:autoSpaceDE w:val="0"/>
      <w:autoSpaceDN w:val="0"/>
      <w:spacing w:after="0" w:line="240" w:lineRule="auto"/>
      <w:ind w:left="0" w:firstLine="0"/>
      <w:jc w:val="left"/>
      <w:rPr>
        <w:rFonts w:ascii="Cambria" w:hAnsi="Cambria" w:cs="Open Sans"/>
        <w:noProof/>
        <w:color w:val="00B050"/>
        <w:sz w:val="20"/>
        <w:szCs w:val="20"/>
        <w:u w:val="single"/>
        <w:shd w:val="clear" w:color="auto" w:fill="FFFFFF"/>
      </w:rPr>
    </w:pPr>
    <w:r w:rsidRPr="009A27D1">
      <w:rPr>
        <w:rFonts w:ascii="Garamond" w:hAnsi="Garamond" w:cs="Arial"/>
        <w:noProof/>
        <w:color w:val="auto"/>
        <w:sz w:val="20"/>
        <w:szCs w:val="18"/>
      </w:rPr>
      <w:drawing>
        <wp:anchor distT="0" distB="0" distL="114300" distR="114300" simplePos="0" relativeHeight="251662336" behindDoc="0" locked="0" layoutInCell="1" allowOverlap="1" wp14:anchorId="70DDB570" wp14:editId="04866B8C">
          <wp:simplePos x="0" y="0"/>
          <wp:positionH relativeFrom="column">
            <wp:posOffset>5240020</wp:posOffset>
          </wp:positionH>
          <wp:positionV relativeFrom="paragraph">
            <wp:posOffset>48895</wp:posOffset>
          </wp:positionV>
          <wp:extent cx="723900" cy="25717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239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7D1">
      <w:rPr>
        <w:rFonts w:ascii="Garamond" w:hAnsi="Garamond" w:cs="Arial"/>
        <w:noProof/>
        <w:color w:val="auto"/>
        <w:sz w:val="20"/>
        <w:szCs w:val="18"/>
      </w:rPr>
      <w:drawing>
        <wp:inline distT="0" distB="0" distL="0" distR="0" wp14:anchorId="789328C6" wp14:editId="40903256">
          <wp:extent cx="180975" cy="180975"/>
          <wp:effectExtent l="0" t="0" r="0" b="0"/>
          <wp:docPr id="4" name="Picture 13"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journal.uny.ac.id/public/site/images/icons/icon-do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A27D1">
      <w:rPr>
        <w:sz w:val="22"/>
      </w:rPr>
      <w:t xml:space="preserve"> </w:t>
    </w:r>
    <w:r w:rsidRPr="009A27D1">
      <w:rPr>
        <w:rFonts w:ascii="Lato" w:hAnsi="Lato" w:cs="Noto Serif"/>
        <w:noProof/>
        <w:color w:val="auto"/>
        <w:sz w:val="16"/>
        <w:szCs w:val="16"/>
      </w:rPr>
      <w:t>Prefix </w:t>
    </w:r>
    <w:hyperlink r:id="rId5" w:history="1">
      <w:r w:rsidRPr="009A27D1">
        <w:rPr>
          <w:rFonts w:ascii="Lato" w:hAnsi="Lato" w:cs="Noto Serif"/>
          <w:noProof/>
          <w:color w:val="0563C1"/>
          <w:sz w:val="16"/>
          <w:szCs w:val="16"/>
          <w:u w:val="single"/>
        </w:rPr>
        <w:t>10.2426 by Crossref</w:t>
      </w:r>
    </w:hyperlink>
  </w:p>
  <w:p w:rsidR="009A27D1" w:rsidRDefault="009A27D1">
    <w:pPr>
      <w:spacing w:after="0" w:line="240" w:lineRule="auto"/>
      <w:ind w:left="0" w:firstLine="0"/>
      <w:jc w:val="center"/>
    </w:pPr>
  </w:p>
  <w:p w:rsidR="00625243" w:rsidRDefault="006C69E2">
    <w:pPr>
      <w:spacing w:after="0" w:line="240"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5DA" w:rsidRDefault="004535DA">
      <w:pPr>
        <w:spacing w:after="0" w:line="240" w:lineRule="auto"/>
      </w:pPr>
      <w:r>
        <w:separator/>
      </w:r>
    </w:p>
  </w:footnote>
  <w:footnote w:type="continuationSeparator" w:id="0">
    <w:p w:rsidR="004535DA" w:rsidRDefault="00453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243" w:rsidRDefault="006C69E2">
    <w:pPr>
      <w:spacing w:after="0" w:line="276" w:lineRule="auto"/>
      <w:ind w:left="0" w:firstLine="0"/>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25908</wp:posOffset>
          </wp:positionV>
          <wp:extent cx="7772400" cy="1504188"/>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772400" cy="1504188"/>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243" w:rsidRDefault="006C69E2">
    <w:pPr>
      <w:spacing w:after="0" w:line="276" w:lineRule="auto"/>
      <w:ind w:left="0" w:firstLine="0"/>
    </w:pPr>
    <w:r>
      <w:rPr>
        <w:noProof/>
      </w:rPr>
      <w:drawing>
        <wp:anchor distT="0" distB="0" distL="114300" distR="114300" simplePos="0" relativeHeight="251659264" behindDoc="0" locked="0" layoutInCell="1" allowOverlap="0">
          <wp:simplePos x="0" y="0"/>
          <wp:positionH relativeFrom="page">
            <wp:posOffset>0</wp:posOffset>
          </wp:positionH>
          <wp:positionV relativeFrom="page">
            <wp:posOffset>25908</wp:posOffset>
          </wp:positionV>
          <wp:extent cx="7772400" cy="150418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772400" cy="1504188"/>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243" w:rsidRDefault="006C69E2">
    <w:pPr>
      <w:spacing w:after="0" w:line="276" w:lineRule="auto"/>
      <w:ind w:left="0" w:firstLine="0"/>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25908</wp:posOffset>
          </wp:positionV>
          <wp:extent cx="7772400" cy="150418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772400" cy="150418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43"/>
    <w:rsid w:val="00020580"/>
    <w:rsid w:val="001520C8"/>
    <w:rsid w:val="0016009C"/>
    <w:rsid w:val="00216380"/>
    <w:rsid w:val="00223517"/>
    <w:rsid w:val="002F26DB"/>
    <w:rsid w:val="00400188"/>
    <w:rsid w:val="004535DA"/>
    <w:rsid w:val="004F4410"/>
    <w:rsid w:val="00572E10"/>
    <w:rsid w:val="005C19BF"/>
    <w:rsid w:val="005F3DCB"/>
    <w:rsid w:val="00625243"/>
    <w:rsid w:val="006C69E2"/>
    <w:rsid w:val="00740636"/>
    <w:rsid w:val="008204DC"/>
    <w:rsid w:val="008703B9"/>
    <w:rsid w:val="009A27D1"/>
    <w:rsid w:val="00C6655F"/>
    <w:rsid w:val="00CB4323"/>
    <w:rsid w:val="00D63E4F"/>
    <w:rsid w:val="00EE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16CEF8-D048-4916-9E51-96748D26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4" w:line="346" w:lineRule="auto"/>
      <w:ind w:left="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40" w:line="240" w:lineRule="auto"/>
      <w:ind w:left="9" w:right="-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89" w:line="240" w:lineRule="auto"/>
      <w:ind w:left="10" w:right="-15" w:hanging="10"/>
      <w:jc w:val="center"/>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pPr>
      <w:keepNext/>
      <w:keepLines/>
      <w:spacing w:after="0" w:line="240" w:lineRule="auto"/>
      <w:ind w:left="10" w:right="-15" w:hanging="10"/>
      <w:jc w:val="center"/>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character" w:styleId="Hyperlink">
    <w:name w:val="Hyperlink"/>
    <w:basedOn w:val="DefaultParagraphFont"/>
    <w:uiPriority w:val="99"/>
    <w:unhideWhenUsed/>
    <w:rsid w:val="001520C8"/>
    <w:rPr>
      <w:color w:val="0563C1" w:themeColor="hyperlink"/>
      <w:u w:val="single"/>
    </w:rPr>
  </w:style>
  <w:style w:type="paragraph" w:styleId="NormalWeb">
    <w:name w:val="Normal (Web)"/>
    <w:basedOn w:val="Normal"/>
    <w:uiPriority w:val="99"/>
    <w:semiHidden/>
    <w:unhideWhenUsed/>
    <w:rsid w:val="00572E10"/>
    <w:pPr>
      <w:spacing w:before="100" w:beforeAutospacing="1" w:after="100" w:afterAutospacing="1" w:line="240" w:lineRule="auto"/>
      <w:ind w:left="0" w:firstLine="0"/>
      <w:jc w:val="left"/>
    </w:pPr>
    <w:rPr>
      <w:color w:val="auto"/>
      <w:szCs w:val="24"/>
    </w:rPr>
  </w:style>
  <w:style w:type="character" w:styleId="Emphasis">
    <w:name w:val="Emphasis"/>
    <w:basedOn w:val="DefaultParagraphFont"/>
    <w:uiPriority w:val="20"/>
    <w:qFormat/>
    <w:rsid w:val="00572E10"/>
    <w:rPr>
      <w:i/>
      <w:iCs/>
    </w:rPr>
  </w:style>
  <w:style w:type="character" w:styleId="Strong">
    <w:name w:val="Strong"/>
    <w:basedOn w:val="DefaultParagraphFont"/>
    <w:uiPriority w:val="22"/>
    <w:qFormat/>
    <w:rsid w:val="00572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36990">
      <w:bodyDiv w:val="1"/>
      <w:marLeft w:val="0"/>
      <w:marRight w:val="0"/>
      <w:marTop w:val="0"/>
      <w:marBottom w:val="0"/>
      <w:divBdr>
        <w:top w:val="none" w:sz="0" w:space="0" w:color="auto"/>
        <w:left w:val="none" w:sz="0" w:space="0" w:color="auto"/>
        <w:bottom w:val="none" w:sz="0" w:space="0" w:color="auto"/>
        <w:right w:val="none" w:sz="0" w:space="0" w:color="auto"/>
      </w:divBdr>
    </w:div>
    <w:div w:id="372078209">
      <w:bodyDiv w:val="1"/>
      <w:marLeft w:val="0"/>
      <w:marRight w:val="0"/>
      <w:marTop w:val="0"/>
      <w:marBottom w:val="0"/>
      <w:divBdr>
        <w:top w:val="none" w:sz="0" w:space="0" w:color="auto"/>
        <w:left w:val="none" w:sz="0" w:space="0" w:color="auto"/>
        <w:bottom w:val="none" w:sz="0" w:space="0" w:color="auto"/>
        <w:right w:val="none" w:sz="0" w:space="0" w:color="auto"/>
      </w:divBdr>
    </w:div>
    <w:div w:id="428699858">
      <w:bodyDiv w:val="1"/>
      <w:marLeft w:val="0"/>
      <w:marRight w:val="0"/>
      <w:marTop w:val="0"/>
      <w:marBottom w:val="0"/>
      <w:divBdr>
        <w:top w:val="none" w:sz="0" w:space="0" w:color="auto"/>
        <w:left w:val="none" w:sz="0" w:space="0" w:color="auto"/>
        <w:bottom w:val="none" w:sz="0" w:space="0" w:color="auto"/>
        <w:right w:val="none" w:sz="0" w:space="0" w:color="auto"/>
      </w:divBdr>
    </w:div>
    <w:div w:id="556742852">
      <w:bodyDiv w:val="1"/>
      <w:marLeft w:val="0"/>
      <w:marRight w:val="0"/>
      <w:marTop w:val="0"/>
      <w:marBottom w:val="0"/>
      <w:divBdr>
        <w:top w:val="none" w:sz="0" w:space="0" w:color="auto"/>
        <w:left w:val="none" w:sz="0" w:space="0" w:color="auto"/>
        <w:bottom w:val="none" w:sz="0" w:space="0" w:color="auto"/>
        <w:right w:val="none" w:sz="0" w:space="0" w:color="auto"/>
      </w:divBdr>
    </w:div>
    <w:div w:id="639112981">
      <w:bodyDiv w:val="1"/>
      <w:marLeft w:val="0"/>
      <w:marRight w:val="0"/>
      <w:marTop w:val="0"/>
      <w:marBottom w:val="0"/>
      <w:divBdr>
        <w:top w:val="none" w:sz="0" w:space="0" w:color="auto"/>
        <w:left w:val="none" w:sz="0" w:space="0" w:color="auto"/>
        <w:bottom w:val="none" w:sz="0" w:space="0" w:color="auto"/>
        <w:right w:val="none" w:sz="0" w:space="0" w:color="auto"/>
      </w:divBdr>
    </w:div>
    <w:div w:id="817264256">
      <w:bodyDiv w:val="1"/>
      <w:marLeft w:val="0"/>
      <w:marRight w:val="0"/>
      <w:marTop w:val="0"/>
      <w:marBottom w:val="0"/>
      <w:divBdr>
        <w:top w:val="none" w:sz="0" w:space="0" w:color="auto"/>
        <w:left w:val="none" w:sz="0" w:space="0" w:color="auto"/>
        <w:bottom w:val="none" w:sz="0" w:space="0" w:color="auto"/>
        <w:right w:val="none" w:sz="0" w:space="0" w:color="auto"/>
      </w:divBdr>
    </w:div>
    <w:div w:id="843856206">
      <w:bodyDiv w:val="1"/>
      <w:marLeft w:val="0"/>
      <w:marRight w:val="0"/>
      <w:marTop w:val="0"/>
      <w:marBottom w:val="0"/>
      <w:divBdr>
        <w:top w:val="none" w:sz="0" w:space="0" w:color="auto"/>
        <w:left w:val="none" w:sz="0" w:space="0" w:color="auto"/>
        <w:bottom w:val="none" w:sz="0" w:space="0" w:color="auto"/>
        <w:right w:val="none" w:sz="0" w:space="0" w:color="auto"/>
      </w:divBdr>
    </w:div>
    <w:div w:id="904795821">
      <w:bodyDiv w:val="1"/>
      <w:marLeft w:val="0"/>
      <w:marRight w:val="0"/>
      <w:marTop w:val="0"/>
      <w:marBottom w:val="0"/>
      <w:divBdr>
        <w:top w:val="none" w:sz="0" w:space="0" w:color="auto"/>
        <w:left w:val="none" w:sz="0" w:space="0" w:color="auto"/>
        <w:bottom w:val="none" w:sz="0" w:space="0" w:color="auto"/>
        <w:right w:val="none" w:sz="0" w:space="0" w:color="auto"/>
      </w:divBdr>
    </w:div>
    <w:div w:id="963342863">
      <w:bodyDiv w:val="1"/>
      <w:marLeft w:val="0"/>
      <w:marRight w:val="0"/>
      <w:marTop w:val="0"/>
      <w:marBottom w:val="0"/>
      <w:divBdr>
        <w:top w:val="none" w:sz="0" w:space="0" w:color="auto"/>
        <w:left w:val="none" w:sz="0" w:space="0" w:color="auto"/>
        <w:bottom w:val="none" w:sz="0" w:space="0" w:color="auto"/>
        <w:right w:val="none" w:sz="0" w:space="0" w:color="auto"/>
      </w:divBdr>
    </w:div>
    <w:div w:id="964892198">
      <w:bodyDiv w:val="1"/>
      <w:marLeft w:val="0"/>
      <w:marRight w:val="0"/>
      <w:marTop w:val="0"/>
      <w:marBottom w:val="0"/>
      <w:divBdr>
        <w:top w:val="none" w:sz="0" w:space="0" w:color="auto"/>
        <w:left w:val="none" w:sz="0" w:space="0" w:color="auto"/>
        <w:bottom w:val="none" w:sz="0" w:space="0" w:color="auto"/>
        <w:right w:val="none" w:sz="0" w:space="0" w:color="auto"/>
      </w:divBdr>
    </w:div>
    <w:div w:id="1342244349">
      <w:bodyDiv w:val="1"/>
      <w:marLeft w:val="0"/>
      <w:marRight w:val="0"/>
      <w:marTop w:val="0"/>
      <w:marBottom w:val="0"/>
      <w:divBdr>
        <w:top w:val="none" w:sz="0" w:space="0" w:color="auto"/>
        <w:left w:val="none" w:sz="0" w:space="0" w:color="auto"/>
        <w:bottom w:val="none" w:sz="0" w:space="0" w:color="auto"/>
        <w:right w:val="none" w:sz="0" w:space="0" w:color="auto"/>
      </w:divBdr>
    </w:div>
    <w:div w:id="1398430035">
      <w:bodyDiv w:val="1"/>
      <w:marLeft w:val="0"/>
      <w:marRight w:val="0"/>
      <w:marTop w:val="0"/>
      <w:marBottom w:val="0"/>
      <w:divBdr>
        <w:top w:val="none" w:sz="0" w:space="0" w:color="auto"/>
        <w:left w:val="none" w:sz="0" w:space="0" w:color="auto"/>
        <w:bottom w:val="none" w:sz="0" w:space="0" w:color="auto"/>
        <w:right w:val="none" w:sz="0" w:space="0" w:color="auto"/>
      </w:divBdr>
    </w:div>
    <w:div w:id="1416784892">
      <w:bodyDiv w:val="1"/>
      <w:marLeft w:val="0"/>
      <w:marRight w:val="0"/>
      <w:marTop w:val="0"/>
      <w:marBottom w:val="0"/>
      <w:divBdr>
        <w:top w:val="none" w:sz="0" w:space="0" w:color="auto"/>
        <w:left w:val="none" w:sz="0" w:space="0" w:color="auto"/>
        <w:bottom w:val="none" w:sz="0" w:space="0" w:color="auto"/>
        <w:right w:val="none" w:sz="0" w:space="0" w:color="auto"/>
      </w:divBdr>
    </w:div>
    <w:div w:id="1466390159">
      <w:bodyDiv w:val="1"/>
      <w:marLeft w:val="0"/>
      <w:marRight w:val="0"/>
      <w:marTop w:val="0"/>
      <w:marBottom w:val="0"/>
      <w:divBdr>
        <w:top w:val="none" w:sz="0" w:space="0" w:color="auto"/>
        <w:left w:val="none" w:sz="0" w:space="0" w:color="auto"/>
        <w:bottom w:val="none" w:sz="0" w:space="0" w:color="auto"/>
        <w:right w:val="none" w:sz="0" w:space="0" w:color="auto"/>
      </w:divBdr>
    </w:div>
    <w:div w:id="1551306559">
      <w:bodyDiv w:val="1"/>
      <w:marLeft w:val="0"/>
      <w:marRight w:val="0"/>
      <w:marTop w:val="0"/>
      <w:marBottom w:val="0"/>
      <w:divBdr>
        <w:top w:val="none" w:sz="0" w:space="0" w:color="auto"/>
        <w:left w:val="none" w:sz="0" w:space="0" w:color="auto"/>
        <w:bottom w:val="none" w:sz="0" w:space="0" w:color="auto"/>
        <w:right w:val="none" w:sz="0" w:space="0" w:color="auto"/>
      </w:divBdr>
    </w:div>
    <w:div w:id="1600026039">
      <w:bodyDiv w:val="1"/>
      <w:marLeft w:val="0"/>
      <w:marRight w:val="0"/>
      <w:marTop w:val="0"/>
      <w:marBottom w:val="0"/>
      <w:divBdr>
        <w:top w:val="none" w:sz="0" w:space="0" w:color="auto"/>
        <w:left w:val="none" w:sz="0" w:space="0" w:color="auto"/>
        <w:bottom w:val="none" w:sz="0" w:space="0" w:color="auto"/>
        <w:right w:val="none" w:sz="0" w:space="0" w:color="auto"/>
      </w:divBdr>
    </w:div>
    <w:div w:id="1621185509">
      <w:bodyDiv w:val="1"/>
      <w:marLeft w:val="0"/>
      <w:marRight w:val="0"/>
      <w:marTop w:val="0"/>
      <w:marBottom w:val="0"/>
      <w:divBdr>
        <w:top w:val="none" w:sz="0" w:space="0" w:color="auto"/>
        <w:left w:val="none" w:sz="0" w:space="0" w:color="auto"/>
        <w:bottom w:val="none" w:sz="0" w:space="0" w:color="auto"/>
        <w:right w:val="none" w:sz="0" w:space="0" w:color="auto"/>
      </w:divBdr>
    </w:div>
    <w:div w:id="1704746080">
      <w:bodyDiv w:val="1"/>
      <w:marLeft w:val="0"/>
      <w:marRight w:val="0"/>
      <w:marTop w:val="0"/>
      <w:marBottom w:val="0"/>
      <w:divBdr>
        <w:top w:val="none" w:sz="0" w:space="0" w:color="auto"/>
        <w:left w:val="none" w:sz="0" w:space="0" w:color="auto"/>
        <w:bottom w:val="none" w:sz="0" w:space="0" w:color="auto"/>
        <w:right w:val="none" w:sz="0" w:space="0" w:color="auto"/>
      </w:divBdr>
    </w:div>
    <w:div w:id="1713337294">
      <w:bodyDiv w:val="1"/>
      <w:marLeft w:val="0"/>
      <w:marRight w:val="0"/>
      <w:marTop w:val="0"/>
      <w:marBottom w:val="0"/>
      <w:divBdr>
        <w:top w:val="none" w:sz="0" w:space="0" w:color="auto"/>
        <w:left w:val="none" w:sz="0" w:space="0" w:color="auto"/>
        <w:bottom w:val="none" w:sz="0" w:space="0" w:color="auto"/>
        <w:right w:val="none" w:sz="0" w:space="0" w:color="auto"/>
      </w:divBdr>
    </w:div>
    <w:div w:id="1737782940">
      <w:bodyDiv w:val="1"/>
      <w:marLeft w:val="0"/>
      <w:marRight w:val="0"/>
      <w:marTop w:val="0"/>
      <w:marBottom w:val="0"/>
      <w:divBdr>
        <w:top w:val="none" w:sz="0" w:space="0" w:color="auto"/>
        <w:left w:val="none" w:sz="0" w:space="0" w:color="auto"/>
        <w:bottom w:val="none" w:sz="0" w:space="0" w:color="auto"/>
        <w:right w:val="none" w:sz="0" w:space="0" w:color="auto"/>
      </w:divBdr>
    </w:div>
    <w:div w:id="1819180023">
      <w:bodyDiv w:val="1"/>
      <w:marLeft w:val="0"/>
      <w:marRight w:val="0"/>
      <w:marTop w:val="0"/>
      <w:marBottom w:val="0"/>
      <w:divBdr>
        <w:top w:val="none" w:sz="0" w:space="0" w:color="auto"/>
        <w:left w:val="none" w:sz="0" w:space="0" w:color="auto"/>
        <w:bottom w:val="none" w:sz="0" w:space="0" w:color="auto"/>
        <w:right w:val="none" w:sz="0" w:space="0" w:color="auto"/>
      </w:divBdr>
    </w:div>
    <w:div w:id="1943566469">
      <w:bodyDiv w:val="1"/>
      <w:marLeft w:val="0"/>
      <w:marRight w:val="0"/>
      <w:marTop w:val="0"/>
      <w:marBottom w:val="0"/>
      <w:divBdr>
        <w:top w:val="none" w:sz="0" w:space="0" w:color="auto"/>
        <w:left w:val="none" w:sz="0" w:space="0" w:color="auto"/>
        <w:bottom w:val="none" w:sz="0" w:space="0" w:color="auto"/>
        <w:right w:val="none" w:sz="0" w:space="0" w:color="auto"/>
      </w:divBdr>
    </w:div>
    <w:div w:id="1950696028">
      <w:bodyDiv w:val="1"/>
      <w:marLeft w:val="0"/>
      <w:marRight w:val="0"/>
      <w:marTop w:val="0"/>
      <w:marBottom w:val="0"/>
      <w:divBdr>
        <w:top w:val="none" w:sz="0" w:space="0" w:color="auto"/>
        <w:left w:val="none" w:sz="0" w:space="0" w:color="auto"/>
        <w:bottom w:val="none" w:sz="0" w:space="0" w:color="auto"/>
        <w:right w:val="none" w:sz="0" w:space="0" w:color="auto"/>
      </w:divBdr>
    </w:div>
    <w:div w:id="1983852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damtd150@gmail.com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hmadsaipulharahapharahap@gmail.com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urpinasih64@gmail.com4"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 Id="rId5" Type="http://schemas.openxmlformats.org/officeDocument/2006/relationships/hyperlink" Target="https://search.crossref.org/search/works?q=2775-1554&amp;from_ui=yes"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F98998A-7B11-4944-AA05-06C8DB5C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Salsabilah</dc:creator>
  <cp:keywords/>
  <cp:lastModifiedBy>USER</cp:lastModifiedBy>
  <cp:revision>10</cp:revision>
  <dcterms:created xsi:type="dcterms:W3CDTF">2025-04-19T06:24:00Z</dcterms:created>
  <dcterms:modified xsi:type="dcterms:W3CDTF">2025-06-10T07:45:00Z</dcterms:modified>
</cp:coreProperties>
</file>