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6AC9E" w14:textId="5A0E062F" w:rsidR="00EA6A0E" w:rsidRPr="008855E2" w:rsidRDefault="00DC315C" w:rsidP="009930F2">
      <w:pPr>
        <w:spacing w:line="240" w:lineRule="auto"/>
        <w:jc w:val="center"/>
        <w:rPr>
          <w:rFonts w:ascii="Times New Roman" w:hAnsi="Times New Roman" w:cs="Times New Roman"/>
          <w:b/>
          <w:bCs/>
          <w:sz w:val="28"/>
          <w:szCs w:val="28"/>
        </w:rPr>
      </w:pPr>
      <w:r w:rsidRPr="008855E2">
        <w:rPr>
          <w:rFonts w:ascii="Times New Roman" w:hAnsi="Times New Roman" w:cs="Times New Roman"/>
          <w:b/>
          <w:bCs/>
          <w:sz w:val="28"/>
          <w:szCs w:val="28"/>
        </w:rPr>
        <w:t>Peran Kebijakan Moneter Dalam Mendorong Pertumbuhan Keuangan Syari’ah</w:t>
      </w:r>
    </w:p>
    <w:p w14:paraId="74AE591C" w14:textId="3EEECD54" w:rsidR="007C2ECD" w:rsidRDefault="007C2ECD" w:rsidP="009930F2">
      <w:pPr>
        <w:spacing w:line="240" w:lineRule="auto"/>
        <w:jc w:val="center"/>
        <w:rPr>
          <w:rFonts w:ascii="Times New Roman" w:hAnsi="Times New Roman" w:cs="Times New Roman"/>
          <w:vertAlign w:val="superscript"/>
        </w:rPr>
      </w:pPr>
      <w:r w:rsidRPr="008855E2">
        <w:rPr>
          <w:rFonts w:ascii="Times New Roman" w:hAnsi="Times New Roman" w:cs="Times New Roman"/>
        </w:rPr>
        <w:t>Seti Sapila</w:t>
      </w:r>
      <w:r w:rsidR="008855E2" w:rsidRPr="008855E2">
        <w:rPr>
          <w:rFonts w:ascii="Times New Roman" w:hAnsi="Times New Roman" w:cs="Times New Roman"/>
          <w:vertAlign w:val="superscript"/>
        </w:rPr>
        <w:t>1</w:t>
      </w:r>
      <w:r w:rsidRPr="008855E2">
        <w:rPr>
          <w:rFonts w:ascii="Times New Roman" w:hAnsi="Times New Roman" w:cs="Times New Roman"/>
        </w:rPr>
        <w:t>, Rahma</w:t>
      </w:r>
      <w:r w:rsidR="008855E2" w:rsidRPr="008855E2">
        <w:rPr>
          <w:rFonts w:ascii="Times New Roman" w:hAnsi="Times New Roman" w:cs="Times New Roman"/>
          <w:vertAlign w:val="superscript"/>
        </w:rPr>
        <w:t>2</w:t>
      </w:r>
      <w:r w:rsidRPr="008855E2">
        <w:rPr>
          <w:rFonts w:ascii="Times New Roman" w:hAnsi="Times New Roman" w:cs="Times New Roman"/>
        </w:rPr>
        <w:t>, Muhammad Fikri</w:t>
      </w:r>
      <w:r w:rsidR="008855E2" w:rsidRPr="008855E2">
        <w:rPr>
          <w:rFonts w:ascii="Times New Roman" w:hAnsi="Times New Roman" w:cs="Times New Roman"/>
          <w:vertAlign w:val="superscript"/>
        </w:rPr>
        <w:t>3</w:t>
      </w:r>
    </w:p>
    <w:p w14:paraId="1A941B8B" w14:textId="77777777" w:rsidR="008855E2" w:rsidRPr="00DC315C" w:rsidRDefault="008855E2" w:rsidP="009930F2">
      <w:pPr>
        <w:spacing w:line="240" w:lineRule="auto"/>
        <w:jc w:val="center"/>
        <w:rPr>
          <w:rFonts w:ascii="Times New Roman" w:hAnsi="Times New Roman" w:cs="Times New Roman"/>
          <w:sz w:val="18"/>
          <w:szCs w:val="18"/>
        </w:rPr>
      </w:pPr>
      <w:r w:rsidRPr="00DC315C">
        <w:rPr>
          <w:rFonts w:ascii="Times New Roman" w:hAnsi="Times New Roman" w:cs="Times New Roman"/>
          <w:sz w:val="18"/>
          <w:szCs w:val="18"/>
        </w:rPr>
        <w:t xml:space="preserve">Program Studi Ekonomi Syariah, Fakultas Ekonomi dan Bisnis Islam, </w:t>
      </w:r>
    </w:p>
    <w:p w14:paraId="2EB7F613" w14:textId="036A282E" w:rsidR="008855E2" w:rsidRDefault="008855E2" w:rsidP="009930F2">
      <w:pPr>
        <w:spacing w:line="240" w:lineRule="auto"/>
        <w:jc w:val="center"/>
        <w:rPr>
          <w:rFonts w:ascii="Times New Roman" w:hAnsi="Times New Roman" w:cs="Times New Roman"/>
          <w:sz w:val="18"/>
          <w:szCs w:val="18"/>
        </w:rPr>
      </w:pPr>
      <w:r w:rsidRPr="00DC315C">
        <w:rPr>
          <w:rFonts w:ascii="Times New Roman" w:hAnsi="Times New Roman" w:cs="Times New Roman"/>
          <w:sz w:val="18"/>
          <w:szCs w:val="18"/>
        </w:rPr>
        <w:t xml:space="preserve">Institut Agama Islam Negeri Pontianak, Indonesia </w:t>
      </w:r>
    </w:p>
    <w:p w14:paraId="20CBC078" w14:textId="63A7AF6E" w:rsidR="00DC315C" w:rsidRDefault="00AD484C" w:rsidP="009930F2">
      <w:pPr>
        <w:spacing w:line="240" w:lineRule="auto"/>
        <w:jc w:val="center"/>
        <w:rPr>
          <w:rFonts w:ascii="Times New Roman" w:hAnsi="Times New Roman" w:cs="Times New Roman"/>
          <w:sz w:val="18"/>
          <w:szCs w:val="18"/>
        </w:rPr>
      </w:pPr>
      <w:r>
        <w:rPr>
          <w:rFonts w:ascii="Times New Roman" w:hAnsi="Times New Roman" w:cs="Times New Roman"/>
          <w:noProof/>
          <w:sz w:val="18"/>
          <w:szCs w:val="18"/>
        </w:rPr>
        <mc:AlternateContent>
          <mc:Choice Requires="wps">
            <w:drawing>
              <wp:anchor distT="0" distB="0" distL="114300" distR="114300" simplePos="0" relativeHeight="251664384" behindDoc="0" locked="0" layoutInCell="1" allowOverlap="1" wp14:anchorId="330202E0" wp14:editId="40B52173">
                <wp:simplePos x="0" y="0"/>
                <wp:positionH relativeFrom="margin">
                  <wp:posOffset>-7648</wp:posOffset>
                </wp:positionH>
                <wp:positionV relativeFrom="paragraph">
                  <wp:posOffset>98149</wp:posOffset>
                </wp:positionV>
                <wp:extent cx="6471617" cy="7951"/>
                <wp:effectExtent l="0" t="0" r="24765" b="30480"/>
                <wp:wrapNone/>
                <wp:docPr id="208222298" name="Konektor Lurus 3"/>
                <wp:cNvGraphicFramePr/>
                <a:graphic xmlns:a="http://schemas.openxmlformats.org/drawingml/2006/main">
                  <a:graphicData uri="http://schemas.microsoft.com/office/word/2010/wordprocessingShape">
                    <wps:wsp>
                      <wps:cNvCnPr/>
                      <wps:spPr>
                        <a:xfrm flipV="1">
                          <a:off x="0" y="0"/>
                          <a:ext cx="6471617"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DCF35" id="Konektor Lurus 3"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7.75pt" to="50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" strokecolor="black [3200]" strokeweight=".5pt">
                <v:stroke joinstyle="miter"/>
                <w10:wrap anchorx="margin"/>
              </v:line>
            </w:pict>
          </mc:Fallback>
        </mc:AlternateContent>
      </w:r>
    </w:p>
    <w:p w14:paraId="64F3A195" w14:textId="77777777" w:rsidR="004D2BBE" w:rsidRDefault="004D2BBE" w:rsidP="009930F2">
      <w:pPr>
        <w:spacing w:line="240" w:lineRule="auto"/>
        <w:jc w:val="center"/>
        <w:rPr>
          <w:rFonts w:ascii="Times New Roman" w:hAnsi="Times New Roman" w:cs="Times New Roman"/>
          <w:sz w:val="18"/>
          <w:szCs w:val="18"/>
        </w:rPr>
      </w:pPr>
    </w:p>
    <w:p w14:paraId="65403682" w14:textId="77777777" w:rsidR="004D2BBE" w:rsidRPr="004D2BBE" w:rsidRDefault="004D2BBE" w:rsidP="004D2BBE">
      <w:pPr>
        <w:spacing w:line="240" w:lineRule="auto"/>
        <w:rPr>
          <w:rFonts w:ascii="Times New Roman" w:hAnsi="Times New Roman" w:cs="Times New Roman"/>
          <w:b/>
          <w:bCs/>
          <w:sz w:val="20"/>
          <w:szCs w:val="20"/>
        </w:rPr>
      </w:pPr>
      <w:r w:rsidRPr="004D2BBE">
        <w:rPr>
          <w:rFonts w:ascii="Times New Roman" w:hAnsi="Times New Roman" w:cs="Times New Roman"/>
          <w:b/>
          <w:bCs/>
          <w:sz w:val="20"/>
          <w:szCs w:val="20"/>
        </w:rPr>
        <w:t xml:space="preserve">Abstract </w:t>
      </w:r>
    </w:p>
    <w:p w14:paraId="79159DE6" w14:textId="77777777" w:rsidR="004D2BBE" w:rsidRPr="004D2BBE" w:rsidRDefault="004D2BBE" w:rsidP="004D2BBE">
      <w:pPr>
        <w:spacing w:line="240" w:lineRule="auto"/>
        <w:jc w:val="both"/>
        <w:rPr>
          <w:rFonts w:ascii="Times New Roman" w:hAnsi="Times New Roman" w:cs="Times New Roman"/>
          <w:sz w:val="20"/>
          <w:szCs w:val="20"/>
        </w:rPr>
      </w:pPr>
      <w:r w:rsidRPr="004D2BBE">
        <w:rPr>
          <w:rFonts w:ascii="Times New Roman" w:hAnsi="Times New Roman" w:cs="Times New Roman"/>
          <w:sz w:val="20"/>
          <w:szCs w:val="20"/>
        </w:rPr>
        <w:t xml:space="preserve">This study examines the role of monetary policy in supporting the growth of sharia finance, which has become an important global phenomenon, especially in countries with large Muslim populations. The purpose of this study is to examine how monetary policy can create a conducive environment for the development of sharia financial institutions and identify the supporting factors and challenges faced by the sharia financial sector. The results of the study show that a well-designed monetary policy can help stabilize the economy, control inflation, and encourage investment in accordance with sharia principles. In addition, the integration between monetary policy and sharia financial regulations is very important to encourage product and service innovation. Despite challenges, such as a lack of understanding among policymakers regarding sharia principles, this study finds great opportunities for the growth of sharia finance by increasing financial literacy in the community. The main conclusion of this study is that monetary policy has a crucial role in encouraging the growth of sharia finance. With the right approach, these policies can contribute to the creation of an inclusive, fair, and sustainable financial system. The importance of integration between monetary policy and sharia principles must be considered in order to achieve economic stability and community welfare. Further research is needed to explore the unrealized potential and to overcome the challenges that exist in the development of the sharia financial sector. </w:t>
      </w:r>
    </w:p>
    <w:p w14:paraId="707FF5BF" w14:textId="6B7816F5" w:rsidR="004D2BBE" w:rsidRPr="004D2BBE" w:rsidRDefault="004D2BBE" w:rsidP="004D2BBE">
      <w:pPr>
        <w:spacing w:line="240" w:lineRule="auto"/>
        <w:rPr>
          <w:rFonts w:ascii="Times New Roman" w:hAnsi="Times New Roman" w:cs="Times New Roman"/>
          <w:b/>
          <w:bCs/>
          <w:i/>
          <w:iCs/>
          <w:sz w:val="18"/>
          <w:szCs w:val="18"/>
        </w:rPr>
      </w:pPr>
      <w:r w:rsidRPr="004D2BBE">
        <w:rPr>
          <w:rFonts w:ascii="Times New Roman" w:hAnsi="Times New Roman" w:cs="Times New Roman"/>
          <w:b/>
          <w:bCs/>
          <w:i/>
          <w:iCs/>
          <w:sz w:val="18"/>
          <w:szCs w:val="18"/>
        </w:rPr>
        <w:t>Keywords: Monetary Policy; Growth; Sharia Finance.</w:t>
      </w:r>
    </w:p>
    <w:p w14:paraId="0085A311" w14:textId="5AF0AB89" w:rsidR="004D2BBE" w:rsidRPr="008855E2" w:rsidRDefault="00AD484C" w:rsidP="009930F2">
      <w:pPr>
        <w:spacing w:line="240" w:lineRule="auto"/>
        <w:rPr>
          <w:rFonts w:ascii="Times New Roman" w:hAnsi="Times New Roman" w:cs="Times New Roman"/>
          <w:b/>
          <w:bCs/>
          <w:sz w:val="20"/>
          <w:szCs w:val="20"/>
        </w:rPr>
      </w:pPr>
      <w:r>
        <w:rPr>
          <w:rFonts w:ascii="Times New Roman" w:hAnsi="Times New Roman" w:cs="Times New Roman"/>
          <w:noProof/>
          <w:sz w:val="18"/>
          <w:szCs w:val="18"/>
        </w:rPr>
        <mc:AlternateContent>
          <mc:Choice Requires="wps">
            <w:drawing>
              <wp:anchor distT="0" distB="0" distL="114300" distR="114300" simplePos="0" relativeHeight="251666432" behindDoc="0" locked="0" layoutInCell="1" allowOverlap="1" wp14:anchorId="5DF18FE4" wp14:editId="551DEBD5">
                <wp:simplePos x="0" y="0"/>
                <wp:positionH relativeFrom="margin">
                  <wp:align>left</wp:align>
                </wp:positionH>
                <wp:positionV relativeFrom="paragraph">
                  <wp:posOffset>6985</wp:posOffset>
                </wp:positionV>
                <wp:extent cx="6471617" cy="7951"/>
                <wp:effectExtent l="0" t="0" r="24765" b="30480"/>
                <wp:wrapNone/>
                <wp:docPr id="1360086280" name="Konektor Lurus 3"/>
                <wp:cNvGraphicFramePr/>
                <a:graphic xmlns:a="http://schemas.openxmlformats.org/drawingml/2006/main">
                  <a:graphicData uri="http://schemas.microsoft.com/office/word/2010/wordprocessingShape">
                    <wps:wsp>
                      <wps:cNvCnPr/>
                      <wps:spPr>
                        <a:xfrm flipV="1">
                          <a:off x="0" y="0"/>
                          <a:ext cx="6471617"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6B20C5" id="Konektor Lurus 3" o:spid="_x0000_s1026" style="position:absolute;flip:y;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5pt" to="509.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" strokecolor="black [3200]" strokeweight=".5pt">
                <v:stroke joinstyle="miter"/>
                <w10:wrap anchorx="margin"/>
              </v:line>
            </w:pict>
          </mc:Fallback>
        </mc:AlternateContent>
      </w:r>
    </w:p>
    <w:p w14:paraId="032D80F4" w14:textId="5EC7EFE0" w:rsidR="00616F93" w:rsidRPr="004D2BBE" w:rsidRDefault="00616F93" w:rsidP="004D2BBE">
      <w:pPr>
        <w:pStyle w:val="ListParagraph"/>
        <w:numPr>
          <w:ilvl w:val="0"/>
          <w:numId w:val="27"/>
        </w:numPr>
        <w:spacing w:line="240" w:lineRule="auto"/>
        <w:ind w:left="426"/>
        <w:rPr>
          <w:rFonts w:ascii="Times New Roman" w:hAnsi="Times New Roman" w:cs="Times New Roman"/>
          <w:b/>
          <w:bCs/>
          <w:sz w:val="24"/>
          <w:szCs w:val="24"/>
        </w:rPr>
        <w:sectPr w:rsidR="00616F93" w:rsidRPr="004D2BBE" w:rsidSect="006405E0">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281" w:left="851" w:header="709" w:footer="709" w:gutter="0"/>
          <w:cols w:space="708"/>
          <w:docGrid w:linePitch="360"/>
        </w:sectPr>
      </w:pPr>
      <w:r w:rsidRPr="004D2BBE">
        <w:rPr>
          <w:rFonts w:ascii="Times New Roman" w:hAnsi="Times New Roman" w:cs="Times New Roman"/>
          <w:b/>
          <w:bCs/>
          <w:sz w:val="24"/>
          <w:szCs w:val="24"/>
        </w:rPr>
        <w:t>Pendahulua</w:t>
      </w:r>
      <w:r w:rsidR="004D2BBE">
        <w:rPr>
          <w:rFonts w:ascii="Times New Roman" w:hAnsi="Times New Roman" w:cs="Times New Roman"/>
          <w:b/>
          <w:bCs/>
          <w:sz w:val="24"/>
          <w:szCs w:val="24"/>
        </w:rPr>
        <w:t xml:space="preserve">n </w:t>
      </w:r>
    </w:p>
    <w:p w14:paraId="73AD51E7" w14:textId="77777777" w:rsidR="004D2BBE" w:rsidRDefault="00CA7BE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Dalam beberapa dekade terakhir, pertumbuhan keuangan syari'ah telah menjadi fenomena global yang signifikan, terutama di negara-negara dengan populasi Muslim yang besar. Keuangan syari'ah, yang berlandaskan pada prinsip-prinsip syariat Islam, menawarkan alternatif terhadap sistem keuangan konvensional dengan menekankan pada keadilan, transparansi, dan keberlanjutan. Pertumbuhan ini tidak hanya dibuktikan dengan meningkatnya jumlah institusi keuangan syari'ah, tetapi juga dengan bertambahnya produk dan layanan yang sesuai dengan prinsip syari'ah.</w:t>
      </w:r>
    </w:p>
    <w:p w14:paraId="4F81F247" w14:textId="77777777" w:rsidR="004D2BBE" w:rsidRDefault="00CA7BE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Salah satu faktor kunci yang mempengaruhi pertumbuhan sektor ini adalah kebijakan moneter. Kebijakan moneter, yang dikelola oleh bank sentral, memiliki peran penting dalam menciptakan lingkungan ekonomi yang kondusif bagi perkembangan sektor keuangan. Dalam konteks keuangan syari'ah, kebijakan moneter dapat membantu menstabilkan perekonomian, mengendalikan inflasi, dan mendorong investasi yang sesuai dengan prinsip-prinsip syari'ah.</w:t>
      </w:r>
    </w:p>
    <w:p w14:paraId="6F2C57B3" w14:textId="77777777" w:rsidR="007364FC" w:rsidRDefault="007C2EC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 xml:space="preserve">Kebijakan moneter memegang peranan krusial dalam pengembangan sistem keuangan di seluruh dunia, termasuk dalam konteks keuangan syariah. Seiring dengan meningkatnya minat masyarakat terhadap investasi yang sesuai dengan prinsip syariah, kebutuhan akan kebijakan moneter yang efektif untuk mendorong pertumbuhan keuangan syariah menjadi semakin mendesak. Keuangan syariah, yang berlandaskan pada prinsip-prinsip hukum Islam, tidak hanya menawarkan alternatif bagi umat Muslim tetapi juga memberikan solusi bagi masyarakat luas yang menginginkan sistem keuangan yang adil dan berkelanjutan. </w:t>
      </w:r>
    </w:p>
    <w:p w14:paraId="4C9B5E29" w14:textId="483688D6" w:rsidR="004D2BBE" w:rsidRDefault="007C2EC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Sejak munculnya lembaga keuangan syariah pertama pada akhir abad ke-20, industri ini telah mengalami pertumbuhan yang signifikan. Data menunjukkan bahwa aset keuangan syariah di seluruh dunia terus meningkat, didorong oleh permintaan yang kuat untuk produk-produk keuangan yang tidak hanya memenuhi kebutuhan investasi tetapi juga sesuai dengan prinsip etika dan sosial. Di banyak negara, keuangan syariah telah menjadi bagian integral dari sistem keuangan nasional, berkontribusi pada pertumbuhan ekonomi dan stabilitas finansial.</w:t>
      </w:r>
    </w:p>
    <w:p w14:paraId="22D89BB2" w14:textId="77777777" w:rsidR="004D2BBE" w:rsidRDefault="007C2EC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lastRenderedPageBreak/>
        <w:t>Kebijakan moneter mencakup tindakan yang diambil oleh otoritas moneter, seperti bank sentral, untuk mengatur jumlah uang yang beredar, suku bunga, dan inflasi. Dalam konteks keuangan syariah, kebijakan ini harus dirancang sedemikian rupa untuk mendukung prinsip-prinsip syariah, yang melarang praktik riba, gharar, dan maysir. Kebijakan yang mengutamakan stabilitas harga dan pertumbuhan ekonomi yang berkelanjutan akan menciptakan lingkungan yang kondusif bagi pertumbuhan lembaga keuangan syariah. Integrasi kebijakan moneter dengan keuangan syariah memerlukan pendekatan yang berbeda dibandingkan dengan sistem konvensional.</w:t>
      </w:r>
    </w:p>
    <w:p w14:paraId="69C15626" w14:textId="77777777" w:rsidR="004D2BBE" w:rsidRDefault="007C2EC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Misalnya, instrumen kebijakan moneter seperti suku bunga tidak dapat diterapkan secara langsung dalam konteks keuangan syariah. Sebaliknya, penggunaan instrumen yang sesuai dengan prinsip syariah, seperti sukuk dan mudharabah, menjadi kunci dalam merancang kebijakan yang efektif. Dengan mengadopsi pendekatan ini, otoritas moneter dapat mendorong pertumbuhan lembaga keuangan syariah sekaligus menjaga stabilitas ekonomi.</w:t>
      </w:r>
    </w:p>
    <w:p w14:paraId="50412CD5" w14:textId="77777777" w:rsidR="004D2BBE" w:rsidRDefault="007C2EC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 xml:space="preserve">Meskipun terdapat potensi yang besar, terdapat juga tantangan dalam penerapan kebijakan moneter untuk mendorong pertumbuhan keuangan syariah. Salah satunya adalah kurangnya pemahaman di kalangan pemangku kebijakan mengenai prinsip-prinsip syariah dan bagaimana mereka dapat diintegrasikan dalam kerangka kebijakan moneter. Selain itu, ketidakpastian pasar dan volatilitas ekonomi global dapat menghambat pertumbuhan lembaga keuangan syariah. Namun, dengan meningkatkan edukasi dan pemahaman mengenai keuangan syariah di kalangan pemangku kebijakan, serta menciptakan kerangka regulasi yang mendukung, peluang untuk pertumbuhan yang berkelanjutan dalam sektor ini sangat besar. </w:t>
      </w:r>
    </w:p>
    <w:p w14:paraId="3FE3D47D" w14:textId="77777777" w:rsidR="004D2BBE" w:rsidRDefault="007C2EC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Dalam konteks global yang semakin terhubung, keuangan syariah dapat berperan sebagai jembatan untuk menciptakan inklusi keuangan yang lebih luas dan mendorong pembangunan ekonomi yang berkelanjutan. Kebijakan moneter yang efektif adalah elemen penting dalam mendorong pertumbuhan keuangan syariah. Dengan pendekatan yang tepat, integrasi antara kebijakan moneter dan prinsip-prinsip keuangan syariah dapat menciptakan ekosistem yang mendukung pertumbuhan ekonomi, stabilitas finansial, dan pemerataan kesejahteraan. Penelitian dan pengembangan lebih lanjut dalam bidang ini sangat diperlukan untuk mengeksplorasi potensi yang belum terwujud dan men</w:t>
      </w:r>
      <w:r w:rsidR="004D2BBE">
        <w:rPr>
          <w:rFonts w:ascii="Times New Roman" w:hAnsi="Times New Roman" w:cs="Times New Roman"/>
          <w:sz w:val="24"/>
          <w:szCs w:val="24"/>
        </w:rPr>
        <w:t>g</w:t>
      </w:r>
      <w:r w:rsidRPr="008A27B1">
        <w:rPr>
          <w:rFonts w:ascii="Times New Roman" w:hAnsi="Times New Roman" w:cs="Times New Roman"/>
          <w:sz w:val="24"/>
          <w:szCs w:val="24"/>
        </w:rPr>
        <w:t>atasi tantangan yang ada</w:t>
      </w:r>
      <w:r w:rsidR="004D2BBE">
        <w:rPr>
          <w:rFonts w:ascii="Times New Roman" w:hAnsi="Times New Roman" w:cs="Times New Roman"/>
          <w:sz w:val="24"/>
          <w:szCs w:val="24"/>
        </w:rPr>
        <w:t>.</w:t>
      </w:r>
    </w:p>
    <w:p w14:paraId="3A579EED" w14:textId="248B72F8" w:rsidR="003C60BE" w:rsidRPr="008A27B1" w:rsidRDefault="00CA7BED" w:rsidP="004E25F6">
      <w:pPr>
        <w:spacing w:line="240" w:lineRule="auto"/>
        <w:ind w:left="-720" w:firstLine="492"/>
        <w:jc w:val="both"/>
        <w:rPr>
          <w:rFonts w:ascii="Times New Roman" w:hAnsi="Times New Roman" w:cs="Times New Roman"/>
          <w:sz w:val="24"/>
          <w:szCs w:val="24"/>
        </w:rPr>
      </w:pPr>
      <w:r w:rsidRPr="008A27B1">
        <w:rPr>
          <w:rFonts w:ascii="Times New Roman" w:hAnsi="Times New Roman" w:cs="Times New Roman"/>
          <w:sz w:val="24"/>
          <w:szCs w:val="24"/>
        </w:rPr>
        <w:t>Artikel ini bertujuan untuk mengeksplorasi peran kebijakan moneter dalam mendorong pertumbuhan keuangan syari'ah, dengan mempertimbangkan faktor-faktor yang mendukung dan tantangan yang dihadapi. Melalui pemahaman yang lebih baik mengenai hubungan ini, diharapkan dapat ditemukan strategi yang lebih efektif untuk memfasilitasi perkembangan sektor keuangan syari'ah di masa depan.</w:t>
      </w:r>
    </w:p>
    <w:p w14:paraId="5B59AC77" w14:textId="77777777" w:rsidR="00947C92" w:rsidRDefault="00A06767" w:rsidP="00947C92">
      <w:pPr>
        <w:pStyle w:val="ListParagraph"/>
        <w:numPr>
          <w:ilvl w:val="0"/>
          <w:numId w:val="27"/>
        </w:numPr>
        <w:spacing w:line="240" w:lineRule="auto"/>
        <w:ind w:left="-426" w:hanging="283"/>
        <w:jc w:val="both"/>
        <w:rPr>
          <w:rFonts w:ascii="Times New Roman" w:hAnsi="Times New Roman" w:cs="Times New Roman"/>
          <w:b/>
          <w:bCs/>
          <w:sz w:val="24"/>
          <w:szCs w:val="24"/>
        </w:rPr>
      </w:pPr>
      <w:r w:rsidRPr="004D2BBE">
        <w:rPr>
          <w:rFonts w:ascii="Times New Roman" w:hAnsi="Times New Roman" w:cs="Times New Roman"/>
          <w:b/>
          <w:bCs/>
          <w:sz w:val="24"/>
          <w:szCs w:val="24"/>
        </w:rPr>
        <w:t>Kerangka Teori</w:t>
      </w:r>
    </w:p>
    <w:p w14:paraId="68832EEF" w14:textId="713EB313" w:rsidR="00BC585F" w:rsidRPr="00947C92" w:rsidRDefault="00A06767" w:rsidP="00C530A6">
      <w:pPr>
        <w:pStyle w:val="ListParagraph"/>
        <w:numPr>
          <w:ilvl w:val="1"/>
          <w:numId w:val="29"/>
        </w:numPr>
        <w:spacing w:line="240" w:lineRule="auto"/>
        <w:ind w:left="-360"/>
        <w:jc w:val="both"/>
        <w:rPr>
          <w:rFonts w:ascii="Times New Roman" w:hAnsi="Times New Roman" w:cs="Times New Roman"/>
          <w:b/>
          <w:bCs/>
          <w:sz w:val="24"/>
          <w:szCs w:val="24"/>
        </w:rPr>
      </w:pPr>
      <w:r w:rsidRPr="00947C92">
        <w:rPr>
          <w:rFonts w:ascii="Times New Roman" w:hAnsi="Times New Roman" w:cs="Times New Roman"/>
          <w:i/>
          <w:iCs/>
          <w:sz w:val="24"/>
          <w:szCs w:val="24"/>
        </w:rPr>
        <w:t>Gambar dan Tabel</w:t>
      </w:r>
    </w:p>
    <w:p w14:paraId="74B3A9FD" w14:textId="2A7E39A9" w:rsidR="00BC585F" w:rsidRDefault="00947C92" w:rsidP="009930F2">
      <w:pPr>
        <w:pStyle w:val="ListParagraph"/>
        <w:spacing w:line="240" w:lineRule="auto"/>
        <w:jc w:val="both"/>
        <w:rPr>
          <w:rFonts w:ascii="Times New Roman" w:hAnsi="Times New Roman" w:cs="Times New Roman"/>
          <w:sz w:val="20"/>
          <w:szCs w:val="20"/>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B02FE2D" wp14:editId="6F5FA8C7">
                <wp:simplePos x="0" y="0"/>
                <wp:positionH relativeFrom="column">
                  <wp:posOffset>1291480</wp:posOffset>
                </wp:positionH>
                <wp:positionV relativeFrom="paragraph">
                  <wp:posOffset>76531</wp:posOffset>
                </wp:positionV>
                <wp:extent cx="1382232" cy="644056"/>
                <wp:effectExtent l="0" t="0" r="27940" b="22860"/>
                <wp:wrapNone/>
                <wp:docPr id="80947978" name="Rectangle 10"/>
                <wp:cNvGraphicFramePr/>
                <a:graphic xmlns:a="http://schemas.openxmlformats.org/drawingml/2006/main">
                  <a:graphicData uri="http://schemas.microsoft.com/office/word/2010/wordprocessingShape">
                    <wps:wsp>
                      <wps:cNvSpPr/>
                      <wps:spPr>
                        <a:xfrm>
                          <a:off x="0" y="0"/>
                          <a:ext cx="1382232" cy="6440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01271E62" w14:textId="2026DA13" w:rsidR="003C60BE" w:rsidRPr="003C60BE" w:rsidRDefault="003C60BE" w:rsidP="003C60BE">
                            <w:pPr>
                              <w:jc w:val="center"/>
                              <w:rPr>
                                <w:rFonts w:ascii="Times New Roman" w:hAnsi="Times New Roman" w:cs="Times New Roman"/>
                                <w:sz w:val="24"/>
                                <w:szCs w:val="24"/>
                              </w:rPr>
                            </w:pPr>
                            <w:r w:rsidRPr="003C60BE">
                              <w:rPr>
                                <w:rFonts w:ascii="Times New Roman" w:hAnsi="Times New Roman" w:cs="Times New Roman"/>
                                <w:sz w:val="24"/>
                                <w:szCs w:val="24"/>
                              </w:rPr>
                              <w:t>Pertumbuhan Keuangan Syariah</w:t>
                            </w:r>
                            <w:r>
                              <w:rPr>
                                <w:rFonts w:ascii="Times New Roman" w:hAnsi="Times New Roman" w:cs="Times New Roman"/>
                                <w:sz w:val="24"/>
                                <w:szCs w:val="24"/>
                              </w:rPr>
                              <w:t xml:space="preserve">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2FE2D" id="Rectangle 10" o:spid="_x0000_s1026" style="position:absolute;left:0;text-align:left;margin-left:101.7pt;margin-top:6.05pt;width:108.85pt;height:5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" fillcolor="white [3201]" strokecolor="#70ad47 [3209]" strokeweight="1pt">
                <v:textbox>
                  <w:txbxContent>
                    <w:p w14:paraId="01271E62" w14:textId="2026DA13" w:rsidR="003C60BE" w:rsidRPr="003C60BE" w:rsidRDefault="003C60BE" w:rsidP="003C60BE">
                      <w:pPr>
                        <w:jc w:val="center"/>
                        <w:rPr>
                          <w:rFonts w:ascii="Times New Roman" w:hAnsi="Times New Roman" w:cs="Times New Roman"/>
                          <w:sz w:val="24"/>
                          <w:szCs w:val="24"/>
                        </w:rPr>
                      </w:pPr>
                      <w:r w:rsidRPr="003C60BE">
                        <w:rPr>
                          <w:rFonts w:ascii="Times New Roman" w:hAnsi="Times New Roman" w:cs="Times New Roman"/>
                          <w:sz w:val="24"/>
                          <w:szCs w:val="24"/>
                        </w:rPr>
                        <w:t>Pertumbuhan Keuangan Syariah</w:t>
                      </w:r>
                      <w:r>
                        <w:rPr>
                          <w:rFonts w:ascii="Times New Roman" w:hAnsi="Times New Roman" w:cs="Times New Roman"/>
                          <w:sz w:val="24"/>
                          <w:szCs w:val="24"/>
                        </w:rPr>
                        <w:t xml:space="preserve"> Y</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0C5949E9" wp14:editId="1947B09D">
                <wp:simplePos x="0" y="0"/>
                <wp:positionH relativeFrom="column">
                  <wp:posOffset>-258556</wp:posOffset>
                </wp:positionH>
                <wp:positionV relativeFrom="paragraph">
                  <wp:posOffset>155906</wp:posOffset>
                </wp:positionV>
                <wp:extent cx="1097280" cy="485030"/>
                <wp:effectExtent l="0" t="0" r="26670" b="10795"/>
                <wp:wrapNone/>
                <wp:docPr id="10" name="Rectangle 10"/>
                <wp:cNvGraphicFramePr/>
                <a:graphic xmlns:a="http://schemas.openxmlformats.org/drawingml/2006/main">
                  <a:graphicData uri="http://schemas.microsoft.com/office/word/2010/wordprocessingShape">
                    <wps:wsp>
                      <wps:cNvSpPr/>
                      <wps:spPr>
                        <a:xfrm>
                          <a:off x="0" y="0"/>
                          <a:ext cx="1097280" cy="4850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18D2BAE" w14:textId="05CC7FF9" w:rsidR="00BC585F" w:rsidRPr="00BC585F" w:rsidRDefault="00BC585F" w:rsidP="00BC585F">
                            <w:pPr>
                              <w:jc w:val="center"/>
                              <w:rPr>
                                <w:rFonts w:ascii="Times New Roman" w:hAnsi="Times New Roman" w:cs="Times New Roman"/>
                                <w:sz w:val="24"/>
                                <w:szCs w:val="24"/>
                              </w:rPr>
                            </w:pPr>
                            <w:r w:rsidRPr="00BC585F">
                              <w:rPr>
                                <w:rFonts w:ascii="Times New Roman" w:hAnsi="Times New Roman" w:cs="Times New Roman"/>
                                <w:sz w:val="24"/>
                                <w:szCs w:val="24"/>
                              </w:rPr>
                              <w:t>Kebijakan Moneter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949E9" id="_x0000_s1027" style="position:absolute;left:0;text-align:left;margin-left:-20.35pt;margin-top:12.3pt;width:86.4pt;height:3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" fillcolor="white [3201]" strokecolor="#70ad47 [3209]" strokeweight="1pt">
                <v:textbox>
                  <w:txbxContent>
                    <w:p w14:paraId="618D2BAE" w14:textId="05CC7FF9" w:rsidR="00BC585F" w:rsidRPr="00BC585F" w:rsidRDefault="00BC585F" w:rsidP="00BC585F">
                      <w:pPr>
                        <w:jc w:val="center"/>
                        <w:rPr>
                          <w:rFonts w:ascii="Times New Roman" w:hAnsi="Times New Roman" w:cs="Times New Roman"/>
                          <w:sz w:val="24"/>
                          <w:szCs w:val="24"/>
                        </w:rPr>
                      </w:pPr>
                      <w:r w:rsidRPr="00BC585F">
                        <w:rPr>
                          <w:rFonts w:ascii="Times New Roman" w:hAnsi="Times New Roman" w:cs="Times New Roman"/>
                          <w:sz w:val="24"/>
                          <w:szCs w:val="24"/>
                        </w:rPr>
                        <w:t>Kebijakan Moneter X</w:t>
                      </w:r>
                    </w:p>
                  </w:txbxContent>
                </v:textbox>
              </v:rect>
            </w:pict>
          </mc:Fallback>
        </mc:AlternateContent>
      </w:r>
    </w:p>
    <w:p w14:paraId="65047598" w14:textId="23B89C13" w:rsidR="00BC585F" w:rsidRDefault="00BC585F" w:rsidP="009930F2">
      <w:pPr>
        <w:pStyle w:val="ListParagraph"/>
        <w:spacing w:line="240" w:lineRule="auto"/>
        <w:jc w:val="both"/>
        <w:rPr>
          <w:rFonts w:ascii="Times New Roman" w:hAnsi="Times New Roman" w:cs="Times New Roman"/>
          <w:sz w:val="20"/>
          <w:szCs w:val="20"/>
        </w:rPr>
      </w:pPr>
    </w:p>
    <w:p w14:paraId="738813AE" w14:textId="0A8684D3" w:rsidR="00BC585F" w:rsidRDefault="003C60BE" w:rsidP="009930F2">
      <w:pPr>
        <w:pStyle w:val="ListParagraph"/>
        <w:spacing w:line="240" w:lineRule="auto"/>
        <w:jc w:val="both"/>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45E2EEC0" wp14:editId="18D815E6">
                <wp:simplePos x="0" y="0"/>
                <wp:positionH relativeFrom="column">
                  <wp:posOffset>822325</wp:posOffset>
                </wp:positionH>
                <wp:positionV relativeFrom="paragraph">
                  <wp:posOffset>25400</wp:posOffset>
                </wp:positionV>
                <wp:extent cx="477078" cy="132025"/>
                <wp:effectExtent l="0" t="19050" r="37465" b="40005"/>
                <wp:wrapNone/>
                <wp:docPr id="527289317" name="Panah: Kanan 2"/>
                <wp:cNvGraphicFramePr/>
                <a:graphic xmlns:a="http://schemas.openxmlformats.org/drawingml/2006/main">
                  <a:graphicData uri="http://schemas.microsoft.com/office/word/2010/wordprocessingShape">
                    <wps:wsp>
                      <wps:cNvSpPr/>
                      <wps:spPr>
                        <a:xfrm>
                          <a:off x="0" y="0"/>
                          <a:ext cx="477078" cy="13202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F2F4A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anah: Kanan 2" o:spid="_x0000_s1026" type="#_x0000_t13" style="position:absolute;margin-left:64.75pt;margin-top:2pt;width:37.55pt;height:1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" adj="18611" fillcolor="black [3200]" strokecolor="black [480]" strokeweight="1pt"/>
            </w:pict>
          </mc:Fallback>
        </mc:AlternateContent>
      </w:r>
    </w:p>
    <w:p w14:paraId="1A4FB0AD" w14:textId="115B0C54" w:rsidR="00BC585F" w:rsidRDefault="00BC585F" w:rsidP="009930F2">
      <w:pPr>
        <w:pStyle w:val="ListParagraph"/>
        <w:spacing w:line="240" w:lineRule="auto"/>
        <w:jc w:val="both"/>
        <w:rPr>
          <w:rFonts w:ascii="Times New Roman" w:hAnsi="Times New Roman" w:cs="Times New Roman"/>
          <w:sz w:val="20"/>
          <w:szCs w:val="20"/>
        </w:rPr>
      </w:pPr>
    </w:p>
    <w:p w14:paraId="03B5970F" w14:textId="55ABA955" w:rsidR="00BC585F" w:rsidRDefault="00BC585F" w:rsidP="009930F2">
      <w:pPr>
        <w:pStyle w:val="ListParagraph"/>
        <w:spacing w:line="240" w:lineRule="auto"/>
        <w:jc w:val="both"/>
        <w:rPr>
          <w:rFonts w:ascii="Times New Roman" w:hAnsi="Times New Roman" w:cs="Times New Roman"/>
          <w:sz w:val="20"/>
          <w:szCs w:val="20"/>
        </w:rPr>
      </w:pPr>
    </w:p>
    <w:p w14:paraId="492E9F10" w14:textId="3675C5C3" w:rsidR="00BC585F" w:rsidRDefault="00BC585F" w:rsidP="009930F2">
      <w:pPr>
        <w:pStyle w:val="ListParagraph"/>
        <w:spacing w:line="240" w:lineRule="auto"/>
        <w:jc w:val="both"/>
        <w:rPr>
          <w:rFonts w:ascii="Times New Roman" w:hAnsi="Times New Roman" w:cs="Times New Roman"/>
          <w:sz w:val="20"/>
          <w:szCs w:val="20"/>
        </w:rPr>
      </w:pPr>
    </w:p>
    <w:p w14:paraId="080939C8" w14:textId="37097465" w:rsidR="00BC585F" w:rsidRPr="003C60BE" w:rsidRDefault="003C60BE" w:rsidP="003C60BE">
      <w:pPr>
        <w:spacing w:line="240" w:lineRule="auto"/>
        <w:jc w:val="center"/>
        <w:rPr>
          <w:rFonts w:ascii="Times New Roman" w:hAnsi="Times New Roman" w:cs="Times New Roman"/>
          <w:sz w:val="24"/>
          <w:szCs w:val="24"/>
        </w:rPr>
      </w:pPr>
      <w:r w:rsidRPr="003C60BE">
        <w:rPr>
          <w:rFonts w:ascii="Times New Roman" w:hAnsi="Times New Roman" w:cs="Times New Roman"/>
          <w:sz w:val="24"/>
          <w:szCs w:val="24"/>
        </w:rPr>
        <w:t>Gambar 1. Kerangka Teori</w:t>
      </w:r>
    </w:p>
    <w:p w14:paraId="7308B70F" w14:textId="77777777" w:rsidR="00BC585F" w:rsidRPr="00790BDB" w:rsidRDefault="00BC585F" w:rsidP="009930F2">
      <w:pPr>
        <w:pStyle w:val="ListParagraph"/>
        <w:spacing w:line="240" w:lineRule="auto"/>
        <w:jc w:val="both"/>
        <w:rPr>
          <w:rFonts w:ascii="Times New Roman" w:hAnsi="Times New Roman" w:cs="Times New Roman"/>
          <w:sz w:val="20"/>
          <w:szCs w:val="20"/>
        </w:rPr>
      </w:pPr>
    </w:p>
    <w:p w14:paraId="5E8AD5E9" w14:textId="3F40EFB4" w:rsidR="00AD484C" w:rsidRPr="00AD484C" w:rsidRDefault="00A06767" w:rsidP="00C530A6">
      <w:pPr>
        <w:pStyle w:val="ListParagraph"/>
        <w:numPr>
          <w:ilvl w:val="1"/>
          <w:numId w:val="29"/>
        </w:numPr>
        <w:tabs>
          <w:tab w:val="left" w:pos="0"/>
        </w:tabs>
        <w:spacing w:line="240" w:lineRule="auto"/>
        <w:ind w:left="-360"/>
        <w:jc w:val="both"/>
        <w:rPr>
          <w:rFonts w:ascii="Times New Roman" w:hAnsi="Times New Roman" w:cs="Times New Roman"/>
          <w:i/>
          <w:iCs/>
          <w:sz w:val="24"/>
          <w:szCs w:val="24"/>
        </w:rPr>
      </w:pPr>
      <w:r w:rsidRPr="00947C92">
        <w:rPr>
          <w:rFonts w:ascii="Times New Roman" w:hAnsi="Times New Roman" w:cs="Times New Roman"/>
          <w:i/>
          <w:iCs/>
          <w:sz w:val="24"/>
          <w:szCs w:val="24"/>
        </w:rPr>
        <w:t>Pustaka Rujukan</w:t>
      </w:r>
    </w:p>
    <w:p w14:paraId="1FFAA854" w14:textId="77777777" w:rsidR="00947C92" w:rsidRDefault="007C2B51" w:rsidP="00C530A6">
      <w:pPr>
        <w:pStyle w:val="ListParagraph"/>
        <w:spacing w:line="240" w:lineRule="auto"/>
        <w:ind w:left="-360"/>
        <w:jc w:val="both"/>
        <w:rPr>
          <w:rFonts w:ascii="Times New Roman" w:hAnsi="Times New Roman" w:cs="Times New Roman"/>
          <w:i/>
          <w:iCs/>
          <w:sz w:val="24"/>
          <w:szCs w:val="24"/>
        </w:rPr>
      </w:pPr>
      <w:r w:rsidRPr="00947C92">
        <w:rPr>
          <w:rFonts w:ascii="Times New Roman" w:hAnsi="Times New Roman" w:cs="Times New Roman"/>
          <w:i/>
          <w:iCs/>
          <w:sz w:val="24"/>
          <w:szCs w:val="24"/>
        </w:rPr>
        <w:t>Kebijakan Moneter dan Stabilitas Ekonomi</w:t>
      </w:r>
    </w:p>
    <w:p w14:paraId="36A26D4E" w14:textId="77777777" w:rsidR="007364FC" w:rsidRPr="00AD484C" w:rsidRDefault="00CE5E97"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Upaya mengendalikan kondisi perekonomian suatu negara disebut dengan kebijakan moneter. Yang utama adalah mengatur kestabilan nilai  dan jumlah uang yang beredar di masing-masing negara. Kebijakan makro tersebut diharapkan sejalan dengan pertumbuhan ekonomi di tingkat mikro dan mewujudkan pertumbuhan ekonomi riil. Kebijakan moneter erat kaitannya dengan uang, sehingga tugas utama dalam memahami isi artikel ini adalah  memahami konsep uang. Definisi uang dalam Islam sangat terbatas. Salah satu hal yang dilarang keras adalah perdagangan uang.</w:t>
      </w:r>
    </w:p>
    <w:p w14:paraId="22479377" w14:textId="77777777" w:rsidR="007364FC" w:rsidRPr="00AD484C" w:rsidRDefault="00CE5E97"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lastRenderedPageBreak/>
        <w:t>Keberhasilan kita dalam menafsirkan uang  Islam juga akan menghasilkan pemahaman yang bulat mengenai kebijakan ekonomi Islam. Mengingat  nilai uang mencerminkan kestabilan harga yang mempengaruhi pertumbuhan ekonomi, pembangunan, dan pengaruh lainnya suatu negara, maka penting untuk mempertimbangkan terlebih dahulu konsep uang dalam Islam (Ajna, 2017).</w:t>
      </w:r>
    </w:p>
    <w:p w14:paraId="50FF594A" w14:textId="77777777" w:rsidR="007364FC" w:rsidRPr="00AD484C" w:rsidRDefault="00CE5E97"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Kebijakan moneter telah memberikan kontribusi signifikan terhadap perubahan besar perekonomian dunia dalam beberapa dekade terakhir dan merupakan salah satu faktor yang mempengaruhi tren perekonomian. Mirip dengan negara lain, kebijakan moneter Indonesia sangat penting dalam membentuk perekonomian dan berbagai subsektornya, termasuk perbankan syariah (Ismail, Indrawati 2020).</w:t>
      </w:r>
    </w:p>
    <w:p w14:paraId="2B805662" w14:textId="77777777" w:rsidR="007364FC" w:rsidRPr="00AD484C" w:rsidRDefault="00CE5E97"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 xml:space="preserve">Kebijakan moneter merupakan alat yang digunakan Bank Indonesia untuk mengendalikan variabel-variabel keuangan seperti tingkat suku bunga dan peredaran uang, dengan tujuan menjaga kestabilan nilai uang terhadap faktor internal dan eksternal. Stabilitas nilai moneter menjadi penting karena mempengaruhi stabilitas harga yang pada akhirnya mempengaruhi tercapainya tujuan pembangunan ekonomi suatu negara. Terpenuhinya kebutuhan dasar, pemerataan pemerataan, peningkatan kesempatan kerja, pertumbuhan ekonomi optimal dan stabilitas perekonomian. </w:t>
      </w:r>
      <w:r w:rsidRPr="00AD484C">
        <w:rPr>
          <w:rStyle w:val="FootnoteReference"/>
          <w:rFonts w:ascii="Times New Roman" w:hAnsi="Times New Roman" w:cs="Times New Roman"/>
          <w:sz w:val="24"/>
          <w:szCs w:val="24"/>
        </w:rPr>
        <w:fldChar w:fldCharType="begin" w:fldLock="1"/>
      </w:r>
      <w:r w:rsidR="00B16518" w:rsidRPr="00AD484C">
        <w:rPr>
          <w:rFonts w:ascii="Times New Roman" w:hAnsi="Times New Roman" w:cs="Times New Roman"/>
          <w:sz w:val="24"/>
          <w:szCs w:val="24"/>
        </w:rPr>
        <w:instrText>ADDIN CSL_CITATION {"citationItems":[{"id":"ITEM-1","itemData":{"author":[{"dropping-particle":"","family":"Febrianti","given":"Putri Firda","non-dropping-particle":"","parse-names":false,"suffix":""},{"dropping-particle":"","family":"Kuncoro","given":"M Firdaus Tri","non-dropping-particle":"","parse-names":false,"suffix":""},{"dropping-particle":"","family":"Irawati","given":"Dyan","non-dropping-particle":"","parse-names":false,"suffix":""},{"dropping-particle":"","family":"Madura","given":"Universitas Trunojoyo","non-dropping-particle":"","parse-names":false,"suffix":""},{"dropping-particle":"","family":"Kamal","given":"Kecamatan","non-dropping-particle":"","parse-names":false,"suffix":""},{"dropping-particle":"","family":"Timur","given":"Jawa","non-dropping-particle":"","parse-names":false,"suffix":""}],"id":"ITEM-1","issue":"2","issued":{"date-parts":[["2024"]]},"title":"Analisis Pengaruh Kebijakan Moneter Terhadap Stabilitas Perbankan Syari ' Ah Di","type":"article-journal","volume":"3"},"uris":["http://www.mendeley.com/documents/?uuid=10e2b65e-c035-47e6-91e8-61f9e5cc7514"]}],"mendeley":{"formattedCitation":"(Febrianti et al., 2024)","plainTextFormattedCitation":"(Febrianti et al., 2024)","previouslyFormattedCitation":"(Febrianti et al., 2024)"},"properties":{"noteIndex":0},"schema":"https://github.com/citation-style-language/schema/raw/master/csl-citation.json"}</w:instrText>
      </w:r>
      <w:r w:rsidRPr="00AD484C">
        <w:rPr>
          <w:rStyle w:val="FootnoteReference"/>
          <w:rFonts w:ascii="Times New Roman" w:hAnsi="Times New Roman" w:cs="Times New Roman"/>
          <w:sz w:val="24"/>
          <w:szCs w:val="24"/>
        </w:rPr>
        <w:fldChar w:fldCharType="separate"/>
      </w:r>
      <w:r w:rsidR="002C014B" w:rsidRPr="00AD484C">
        <w:rPr>
          <w:rFonts w:ascii="Times New Roman" w:hAnsi="Times New Roman" w:cs="Times New Roman"/>
          <w:bCs/>
          <w:noProof/>
          <w:sz w:val="24"/>
          <w:szCs w:val="24"/>
        </w:rPr>
        <w:t>(Febrianti et al., 2024)</w:t>
      </w:r>
      <w:r w:rsidRPr="00AD484C">
        <w:rPr>
          <w:rStyle w:val="FootnoteReference"/>
          <w:rFonts w:ascii="Times New Roman" w:hAnsi="Times New Roman" w:cs="Times New Roman"/>
          <w:sz w:val="24"/>
          <w:szCs w:val="24"/>
        </w:rPr>
        <w:fldChar w:fldCharType="end"/>
      </w:r>
    </w:p>
    <w:p w14:paraId="02DF7001" w14:textId="77777777" w:rsidR="007364FC" w:rsidRPr="00AD484C" w:rsidRDefault="00CE5E97"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Kebijakan moneter adalah kunci untuk mengendalikan perekonomian. Namun, pandangan mengenai kebijakan moneter mungkin berbeda tergantung pada sistem ekonomi yang dipilih. Sistem ekonomi tradisional dan Islam memiliki pandangan berbeda mengenai kebijakan moneter. Sistem ekonomi moneter Islam mempunyai tujuan utama untuk mencapai keadilan dan kemanfaatan, sehingga mengarah pada keselarasan antara sektor moneter dan perekonomian secara keseluruhan. Meningkatnya aktivitas peminjaman oleh bank syariah akan mempengaruhi keseimbangan perekonomian dan pertumbuhan ekonomi.</w:t>
      </w:r>
    </w:p>
    <w:p w14:paraId="08D1FF4D" w14:textId="0D4A9FC1" w:rsidR="00947C92" w:rsidRPr="00AD484C" w:rsidRDefault="00CE5E97"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Di Indonesia, perkembangan sistem keuangan syariah terus mengalami kemajuan pesat. Hal ini tercermin dari pertumbuhan produk moneter syariah, perbaikan kinerja dan tingkat kepercayaan masyarakat terhadap bank syariah. Hingga Juli 2021, jumlah dana pihak ketiga (DPK) yang dihimpun melalui bank syariah mencapai Rp 504 triliun, dan dana yang disalurkan mencapai Rp 405 triliun. Bahkan di masa pandemi, aset keuangan syariah Indonesia berjumlah Rp 1.802,86 triliun atau $127,82 miliar per Desember 2020, 65,73% di antaranya dikelola oleh 12 bank umum syariah. Jumlah rekening bank dan keuangan syariah juga meningkat secara signifikan</w:t>
      </w:r>
      <w:r w:rsidR="002C7853" w:rsidRPr="00AD484C">
        <w:rPr>
          <w:rFonts w:ascii="Times New Roman" w:hAnsi="Times New Roman" w:cs="Times New Roman"/>
          <w:sz w:val="24"/>
          <w:szCs w:val="24"/>
        </w:rPr>
        <w:t xml:space="preserve"> (Triana, dkk,2024).</w:t>
      </w:r>
    </w:p>
    <w:p w14:paraId="417DA034" w14:textId="77777777" w:rsidR="00947C92" w:rsidRPr="00AD484C" w:rsidRDefault="00947C92" w:rsidP="004E25F6">
      <w:pPr>
        <w:pStyle w:val="ListParagraph"/>
        <w:spacing w:line="240" w:lineRule="auto"/>
        <w:ind w:left="-90"/>
        <w:jc w:val="both"/>
        <w:rPr>
          <w:rFonts w:ascii="Times New Roman" w:hAnsi="Times New Roman" w:cs="Times New Roman"/>
          <w:sz w:val="24"/>
          <w:szCs w:val="24"/>
        </w:rPr>
      </w:pPr>
    </w:p>
    <w:p w14:paraId="1BCEFEEA" w14:textId="77777777" w:rsidR="00947C92" w:rsidRPr="00AD484C" w:rsidRDefault="00927AD3" w:rsidP="00C530A6">
      <w:pPr>
        <w:pStyle w:val="ListParagraph"/>
        <w:spacing w:line="240" w:lineRule="auto"/>
        <w:ind w:left="-360"/>
        <w:jc w:val="both"/>
        <w:rPr>
          <w:rFonts w:ascii="Times New Roman" w:hAnsi="Times New Roman" w:cs="Times New Roman"/>
          <w:i/>
          <w:iCs/>
          <w:sz w:val="24"/>
          <w:szCs w:val="24"/>
        </w:rPr>
      </w:pPr>
      <w:r w:rsidRPr="00AD484C">
        <w:rPr>
          <w:rFonts w:ascii="Times New Roman" w:hAnsi="Times New Roman" w:cs="Times New Roman"/>
          <w:i/>
          <w:iCs/>
          <w:sz w:val="24"/>
          <w:szCs w:val="24"/>
        </w:rPr>
        <w:t>Keuangan Syari'ah Prinsip dan Pertumbuhan</w:t>
      </w:r>
    </w:p>
    <w:p w14:paraId="5D3C3959" w14:textId="77777777" w:rsidR="007364FC" w:rsidRPr="00AD484C" w:rsidRDefault="002C7853"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Secara umum uang merupakan sesuatu yang diterima secara luas di suatu daerah tertentu sebagai alat pembayaran, pembayaran utang, atau pembelian barang dan jasa (Kasmir, 2014).</w:t>
      </w:r>
      <w:r w:rsidR="007364FC" w:rsidRPr="00AD484C">
        <w:rPr>
          <w:rFonts w:ascii="Times New Roman" w:hAnsi="Times New Roman" w:cs="Times New Roman"/>
          <w:sz w:val="24"/>
          <w:szCs w:val="24"/>
        </w:rPr>
        <w:t xml:space="preserve"> </w:t>
      </w:r>
      <w:r w:rsidRPr="00AD484C">
        <w:rPr>
          <w:rFonts w:ascii="Times New Roman" w:hAnsi="Times New Roman" w:cs="Times New Roman"/>
          <w:sz w:val="24"/>
          <w:szCs w:val="24"/>
        </w:rPr>
        <w:t>Uang digunakan untuk memfasilitasi kegiatan sosial dan ekonomi manusia dan bertindak sebagai alat tukar. Syariat Islam mengajarkan bahwa uang (dalam bentuk apapun) digunakan untuk mencegah seseorang dieksploitasi oleh orang lain. Nabi Muhammad SAW melihatnya dalam beberapa hadis. Kami menyarankan Anda untuk tidak menukar barang berkualitas rendah dengan barang berkualitas lebih tinggi (kecuali kuantitasnya sama). Pertama, jual produk berkualitas rendah dan gunakan hasil penjualannya untuk membeli produk berkualitas tinggi. (Ajna 2017)</w:t>
      </w:r>
    </w:p>
    <w:p w14:paraId="0AA3FD2C" w14:textId="77777777" w:rsidR="007364FC" w:rsidRPr="00AD484C" w:rsidRDefault="007E19D2"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 xml:space="preserve">Indonesia merupakan negara yang memiliki mayoritas penduduknya beragama Islam (Randeree, 2020); (Musta’anah &amp; Sopingi, 2019). Oleh karena itu, perkembangan sistem keuangan syariah di Indonesia menjadi sangat penting untuk mendukung pertumbuhan ekonomi dan kesejahteraan masyarakat (Basri et al., 2020). </w:t>
      </w:r>
    </w:p>
    <w:p w14:paraId="14760ABE" w14:textId="77777777" w:rsidR="007364FC" w:rsidRPr="00AD484C" w:rsidRDefault="007E19D2"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Seiring dengan berkembangnya industri perbankan syariah di Indonesia, semakin banyak masyarakat yang memilih menggunakan layanan keuangan syariah dibandingkan konvensional (Cholifah et al., 2023). Hal ini dapat dilihat dari jumlah bank umum syariah serta lembaga keuangan mikro (LKM) atau Baitul Maal wat Tamwil (BMT) yang semakin bertambah tiap tahunnya (Tamanni et al., 2022).</w:t>
      </w:r>
    </w:p>
    <w:p w14:paraId="4441F86D" w14:textId="77777777" w:rsidR="007364FC" w:rsidRPr="00AD484C" w:rsidRDefault="00543566"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 xml:space="preserve">Namun demikian, meskipun pemerintah telah memberikan dukungan terhadap pengembangan industri perbankan syariah melalui berbagai program dan insentif fiskal (Ascarya, 2022), namun masih </w:t>
      </w:r>
      <w:r w:rsidRPr="00AD484C">
        <w:rPr>
          <w:rFonts w:ascii="Times New Roman" w:hAnsi="Times New Roman" w:cs="Times New Roman"/>
          <w:sz w:val="24"/>
          <w:szCs w:val="24"/>
        </w:rPr>
        <w:lastRenderedPageBreak/>
        <w:t xml:space="preserve">ada tantangan dalam mengoptimalkan perannya dalam meningkatkan perekonomian nasional (Sukmana et al., 2023). </w:t>
      </w:r>
    </w:p>
    <w:p w14:paraId="29F535B0" w14:textId="0F86DFBC" w:rsidR="00947C92" w:rsidRPr="00AD484C" w:rsidRDefault="00543566"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Oleh karena itu, analisis mengenai peran lembaga keuangan syariah dalam meningkatkan perekonomian Indonesia menjadi sangat penting untuk dilakukan guna mengetahui sejauh mana kontribusi mereka bagi pertumbuhan ekonomi nasional serta faktor-faktor apa saja yang mempengaruhi efektivitas kinerja mereka.</w:t>
      </w:r>
      <w:r w:rsidR="0014467C" w:rsidRPr="00AD484C">
        <w:rPr>
          <w:rFonts w:ascii="Times New Roman" w:hAnsi="Times New Roman" w:cs="Times New Roman"/>
          <w:sz w:val="24"/>
          <w:szCs w:val="24"/>
        </w:rPr>
        <w:t xml:space="preserve"> </w:t>
      </w:r>
      <w:r w:rsidR="0014467C" w:rsidRPr="00AD484C">
        <w:rPr>
          <w:rFonts w:ascii="Times New Roman" w:hAnsi="Times New Roman" w:cs="Times New Roman"/>
          <w:sz w:val="24"/>
          <w:szCs w:val="24"/>
        </w:rPr>
        <w:fldChar w:fldCharType="begin" w:fldLock="1"/>
      </w:r>
      <w:r w:rsidR="00B16518" w:rsidRPr="00AD484C">
        <w:rPr>
          <w:rFonts w:ascii="Times New Roman" w:hAnsi="Times New Roman" w:cs="Times New Roman"/>
          <w:sz w:val="24"/>
          <w:szCs w:val="24"/>
        </w:rPr>
        <w:instrText>ADDIN CSL_CITATION {"citationItems":[{"id":"ITEM-1","itemData":{"author":[{"dropping-particle":"","family":"Madura","given":"Universitas Trunojoyo","non-dropping-particle":"","parse-names":false,"suffix":""}],"id":"ITEM-1","issue":"5","issued":{"date-parts":[["2024"]]},"title":"Penerapan Kebijakan Moneter Islam Pada Sistem","type":"article-journal","volume":"2"},"uris":["http://www.mendeley.com/documents/?uuid=8ae607e8-1187-43f5-8635-57fa2a1e965a"]}],"mendeley":{"formattedCitation":"(Madura, 2024)","plainTextFormattedCitation":"(Madura, 2024)","previouslyFormattedCitation":"(Madura, 2024)"},"properties":{"noteIndex":0},"schema":"https://github.com/citation-style-language/schema/raw/master/csl-citation.json"}</w:instrText>
      </w:r>
      <w:r w:rsidR="0014467C" w:rsidRPr="00AD484C">
        <w:rPr>
          <w:rFonts w:ascii="Times New Roman" w:hAnsi="Times New Roman" w:cs="Times New Roman"/>
          <w:sz w:val="24"/>
          <w:szCs w:val="24"/>
        </w:rPr>
        <w:fldChar w:fldCharType="separate"/>
      </w:r>
      <w:r w:rsidR="002C014B" w:rsidRPr="00AD484C">
        <w:rPr>
          <w:rFonts w:ascii="Times New Roman" w:hAnsi="Times New Roman" w:cs="Times New Roman"/>
          <w:noProof/>
          <w:sz w:val="24"/>
          <w:szCs w:val="24"/>
        </w:rPr>
        <w:t>(Madura, 2024)</w:t>
      </w:r>
      <w:r w:rsidR="0014467C" w:rsidRPr="00AD484C">
        <w:rPr>
          <w:rFonts w:ascii="Times New Roman" w:hAnsi="Times New Roman" w:cs="Times New Roman"/>
          <w:sz w:val="24"/>
          <w:szCs w:val="24"/>
        </w:rPr>
        <w:fldChar w:fldCharType="end"/>
      </w:r>
    </w:p>
    <w:p w14:paraId="7BA27257" w14:textId="77777777" w:rsidR="007364FC" w:rsidRPr="00AD484C" w:rsidRDefault="00543566"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Dalam penelitian Muttaqin et al. (2021) hasil penelitiannya menunjukkan bahwa lembaga keuangan syariah memiliki dampak positif terhadap pertumbuhan ekonomi Indonesia melalui kredit usaha rakyat (KUR) dan pendanaan syariah. Selain itu, lembaga keuangan syariah juga dapat membantu meningkatkan inklusi finansial di Indonesia. Rendahnya tingkat literasi keuangan masyarakat mengenai produk-produk keuangan syariah. Hal ini menyebabkan kurangnya minat masyarakat untuk menggunakan layanan keuangan syariah, sehingga potensi kontribusi lembaga keuangan syariah terhadap pertumbuhan ekonomi nasional tidak bisa dioptimalkan.</w:t>
      </w:r>
      <w:r w:rsidR="0014467C" w:rsidRPr="00AD484C">
        <w:rPr>
          <w:rFonts w:ascii="Times New Roman" w:hAnsi="Times New Roman" w:cs="Times New Roman"/>
          <w:sz w:val="24"/>
          <w:szCs w:val="24"/>
        </w:rPr>
        <w:t xml:space="preserve"> </w:t>
      </w:r>
      <w:r w:rsidR="0014467C" w:rsidRPr="00AD484C">
        <w:rPr>
          <w:rFonts w:ascii="Times New Roman" w:hAnsi="Times New Roman" w:cs="Times New Roman"/>
          <w:sz w:val="24"/>
          <w:szCs w:val="24"/>
        </w:rPr>
        <w:fldChar w:fldCharType="begin" w:fldLock="1"/>
      </w:r>
      <w:r w:rsidR="00B16518" w:rsidRPr="00AD484C">
        <w:rPr>
          <w:rFonts w:ascii="Times New Roman" w:hAnsi="Times New Roman" w:cs="Times New Roman"/>
          <w:sz w:val="24"/>
          <w:szCs w:val="24"/>
        </w:rPr>
        <w:instrText>ADDIN CSL_CITATION {"citationItems":[{"id":"ITEM-1","itemData":{"author":[{"dropping-particle":"","family":"Wahyunitasar","given":"Eka Dita","non-dropping-particle":"","parse-names":false,"suffix":""},{"dropping-particle":"","family":"Sopingi","given":"Imam","non-dropping-particle":"","parse-names":false,"suffix":""},{"dropping-particle":"","family":"Musfiroh","given":"Anita","non-dropping-particle":"","parse-names":false,"suffix":""}],"container-title":"JIES Journal of Islamic Economics Studies","id":"ITEM-1","issue":"2","issued":{"date-parts":[["2023"]]},"page":"103-114","title":"Analisis Peran Lembaga Keuangan Syariah Dalam Perekonomian Indonesia","type":"article-journal","volume":"volume.2, "},"uris":["http://www.mendeley.com/documents/?uuid=f2f7ff2d-4b17-4123-ac0a-0ff1ce6350e5"]}],"mendeley":{"formattedCitation":"(Wahyunitasar et al., 2023)","plainTextFormattedCitation":"(Wahyunitasar et al., 2023)","previouslyFormattedCitation":"(Wahyunitasar et al., 2023)"},"properties":{"noteIndex":0},"schema":"https://github.com/citation-style-language/schema/raw/master/csl-citation.json"}</w:instrText>
      </w:r>
      <w:r w:rsidR="0014467C" w:rsidRPr="00AD484C">
        <w:rPr>
          <w:rFonts w:ascii="Times New Roman" w:hAnsi="Times New Roman" w:cs="Times New Roman"/>
          <w:sz w:val="24"/>
          <w:szCs w:val="24"/>
        </w:rPr>
        <w:fldChar w:fldCharType="separate"/>
      </w:r>
      <w:r w:rsidR="002C014B" w:rsidRPr="00AD484C">
        <w:rPr>
          <w:rFonts w:ascii="Times New Roman" w:hAnsi="Times New Roman" w:cs="Times New Roman"/>
          <w:noProof/>
          <w:sz w:val="24"/>
          <w:szCs w:val="24"/>
        </w:rPr>
        <w:t>(Wahyunitasar et al., 2023)</w:t>
      </w:r>
      <w:r w:rsidR="0014467C" w:rsidRPr="00AD484C">
        <w:rPr>
          <w:rFonts w:ascii="Times New Roman" w:hAnsi="Times New Roman" w:cs="Times New Roman"/>
          <w:sz w:val="24"/>
          <w:szCs w:val="24"/>
        </w:rPr>
        <w:fldChar w:fldCharType="end"/>
      </w:r>
    </w:p>
    <w:p w14:paraId="67E668E2" w14:textId="45CD9A3A" w:rsidR="00947C92" w:rsidRPr="00AD484C" w:rsidRDefault="00B21D4F"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Bank syariah merupakan bagian integral dari sistem keuangan Indonesia dan operasinya mengikuti prinsip-prinsip Syariah Islam. Selain pertumbuhan dan perkembangan sektor perbankan syariah, penting untuk memahami bagaimana kebijakan moneter mempengaruhi stabilitasnya. Kebijakan moneter, termasuk penetapan suku bunga, manajemen likuiditas, dan perangkat kebijakan lainnya yang diterapkan oleh bank sentral, mempunyai dampak  signifikan terhadap kesehatan dan stabilitas bank syariah (Mailindra, Bashri, dan Sujadi 2022).</w:t>
      </w:r>
    </w:p>
    <w:p w14:paraId="150462B4" w14:textId="77777777" w:rsidR="00947C92" w:rsidRPr="00AD484C" w:rsidRDefault="00947C92" w:rsidP="00C530A6">
      <w:pPr>
        <w:pStyle w:val="ListParagraph"/>
        <w:spacing w:line="240" w:lineRule="auto"/>
        <w:ind w:left="-360"/>
        <w:jc w:val="both"/>
        <w:rPr>
          <w:rFonts w:ascii="Times New Roman" w:hAnsi="Times New Roman" w:cs="Times New Roman"/>
          <w:i/>
          <w:iCs/>
          <w:sz w:val="24"/>
          <w:szCs w:val="24"/>
        </w:rPr>
      </w:pPr>
    </w:p>
    <w:p w14:paraId="0F5C54BE" w14:textId="77777777" w:rsidR="00947C92" w:rsidRPr="00AD484C" w:rsidRDefault="00927AD3" w:rsidP="00C530A6">
      <w:pPr>
        <w:pStyle w:val="ListParagraph"/>
        <w:spacing w:line="240" w:lineRule="auto"/>
        <w:ind w:left="-360"/>
        <w:jc w:val="both"/>
        <w:rPr>
          <w:rFonts w:ascii="Times New Roman" w:hAnsi="Times New Roman" w:cs="Times New Roman"/>
          <w:i/>
          <w:iCs/>
          <w:sz w:val="24"/>
          <w:szCs w:val="24"/>
        </w:rPr>
      </w:pPr>
      <w:r w:rsidRPr="00AD484C">
        <w:rPr>
          <w:rFonts w:ascii="Times New Roman" w:hAnsi="Times New Roman" w:cs="Times New Roman"/>
          <w:i/>
          <w:iCs/>
          <w:sz w:val="24"/>
          <w:szCs w:val="24"/>
        </w:rPr>
        <w:t>Dampak Kebijakan Moneter terhadap Lembaga Keuangan Syari'ah</w:t>
      </w:r>
    </w:p>
    <w:p w14:paraId="124BCA0B" w14:textId="77777777" w:rsidR="007364FC" w:rsidRPr="00AD484C" w:rsidRDefault="00B21D4F"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Kebijakan moneter adalah upaya untuk mengendalikan atau mengarahkan perekonomian makro menuju keadaan yang diinginkan (lebih baik) dengan mengatur jumlah uang beredar. Situasi yang lebih baik berarti meningkatkan produksi neraca dan/atau menjaga stabilitas harga inflasi terkendali (Raharja, Manurung, 2009).</w:t>
      </w:r>
    </w:p>
    <w:p w14:paraId="0B6D21FB" w14:textId="77777777" w:rsidR="007364FC" w:rsidRPr="00AD484C" w:rsidRDefault="00B21D4F"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Studi Iqbal dan Mirakhor (2011) menunjukkan bahwa kebijakan moneter yang komprehensif dan adaptif dapat meningkatkan likuiditas lembaga keuangan syariah. Dengan menetapkan suku bunga yang sesuai, bank sentral dapat menciptakan kondisi di mana lembaga-lembaga tersebut dapat menawarkan produk keuangan yang kompetitif. Hal ini dapat meningkatkan daya saing lembaga keuangan syariah di pasar global.</w:t>
      </w:r>
    </w:p>
    <w:p w14:paraId="6F5F2F8A" w14:textId="77777777" w:rsidR="007364FC" w:rsidRPr="00AD484C" w:rsidRDefault="00927AD3" w:rsidP="00C530A6">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Studi oleh Ahmad dan Hassan (2008) menambahkan bahwa kebijakan moneter yang stabil juga berkontribusi terhadap pengelolaan risiko yang lebih baik di lembaga keuangan syari'ah. Dalam kondisi ekonomi yang tidak stabil, lembaga-lembaga ini dapat menghadapi tantangan dalam mempertahankan likuiditas dan profitabilitas. Oleh karena itu, dukungan dari kebijakan moneter yang responsif sangat penting untuk memastikan bahwa lembaga-lembaga keuangan syari'ah dapat beroperasi dengan efisien.</w:t>
      </w:r>
    </w:p>
    <w:p w14:paraId="14B9D0AC" w14:textId="77777777" w:rsidR="007364FC" w:rsidRPr="00AD484C" w:rsidRDefault="00927AD3" w:rsidP="00C530A6">
      <w:pPr>
        <w:pStyle w:val="ListParagraph"/>
        <w:spacing w:line="240" w:lineRule="auto"/>
        <w:ind w:left="-360" w:firstLine="761"/>
        <w:jc w:val="both"/>
        <w:rPr>
          <w:rFonts w:ascii="Times New Roman" w:hAnsi="Times New Roman" w:cs="Times New Roman"/>
          <w:sz w:val="24"/>
          <w:szCs w:val="24"/>
        </w:rPr>
      </w:pPr>
      <w:r w:rsidRPr="00AD484C">
        <w:rPr>
          <w:rFonts w:ascii="Times New Roman" w:hAnsi="Times New Roman" w:cs="Times New Roman"/>
          <w:sz w:val="24"/>
          <w:szCs w:val="24"/>
        </w:rPr>
        <w:t>Lebih jauh, penelitian oleh Kamarudin et al. (2016) menekankan pentingnya integrasi antara kebijakan moneter dan regulasi keuangan syari'ah untuk mendorong inovasi produk dan layanan. Hal ini dapat menciptakan pasar yang lebih dinamis dan kompetitif, sehingga meningkatkan partisipasi investor dalam produk keuangan syari'ah.</w:t>
      </w:r>
      <w:r w:rsidR="006352F6" w:rsidRPr="00AD484C">
        <w:rPr>
          <w:rFonts w:ascii="Times New Roman" w:hAnsi="Times New Roman" w:cs="Times New Roman"/>
          <w:sz w:val="24"/>
          <w:szCs w:val="24"/>
        </w:rPr>
        <w:t xml:space="preserve"> </w:t>
      </w:r>
    </w:p>
    <w:p w14:paraId="23DAF548" w14:textId="01EDA404" w:rsidR="00947C92" w:rsidRPr="00AD484C" w:rsidRDefault="00B21D4F" w:rsidP="00C530A6">
      <w:pPr>
        <w:pStyle w:val="ListParagraph"/>
        <w:spacing w:line="240" w:lineRule="auto"/>
        <w:ind w:left="-360" w:firstLine="761"/>
        <w:jc w:val="both"/>
        <w:rPr>
          <w:rFonts w:ascii="Times New Roman" w:hAnsi="Times New Roman" w:cs="Times New Roman"/>
          <w:sz w:val="24"/>
          <w:szCs w:val="24"/>
        </w:rPr>
      </w:pPr>
      <w:r w:rsidRPr="00AD484C">
        <w:rPr>
          <w:rFonts w:ascii="Times New Roman" w:hAnsi="Times New Roman" w:cs="Times New Roman"/>
          <w:sz w:val="24"/>
          <w:szCs w:val="24"/>
        </w:rPr>
        <w:t>Kebijakan moneter merupakan upaya untuk mengatur atau mengendalikan kondisi perekonomian  suatu negara. Komitmen yang disampaikan adalah mencapai pertumbuhan ekonomi yang lebih tinggi melalui stabilitas harga dan penghindaran inflasi. Kebijakan moneter juga memungkinkan pemerintah untuk menjaga, memantau, dan menambah atau mengurangi jumlah mata uang yang beredar di suatu negara. (Dini Abdianti, Anisa Restu, Shorafuddin Al Ayyubi, 2023)</w:t>
      </w:r>
    </w:p>
    <w:p w14:paraId="0B093BDE" w14:textId="77777777" w:rsidR="00947C92" w:rsidRPr="00AD484C" w:rsidRDefault="00947C92" w:rsidP="004E25F6">
      <w:pPr>
        <w:pStyle w:val="ListParagraph"/>
        <w:spacing w:line="240" w:lineRule="auto"/>
        <w:ind w:left="-90"/>
        <w:jc w:val="both"/>
        <w:rPr>
          <w:rFonts w:ascii="Times New Roman" w:hAnsi="Times New Roman" w:cs="Times New Roman"/>
          <w:sz w:val="24"/>
          <w:szCs w:val="24"/>
        </w:rPr>
      </w:pPr>
    </w:p>
    <w:p w14:paraId="4EFC2EED" w14:textId="77777777" w:rsidR="00947C92" w:rsidRPr="00AD484C" w:rsidRDefault="00445135" w:rsidP="0067010A">
      <w:pPr>
        <w:pStyle w:val="ListParagraph"/>
        <w:spacing w:line="240" w:lineRule="auto"/>
        <w:ind w:left="-360"/>
        <w:jc w:val="both"/>
        <w:rPr>
          <w:rFonts w:ascii="Times New Roman" w:hAnsi="Times New Roman" w:cs="Times New Roman"/>
          <w:i/>
          <w:iCs/>
          <w:sz w:val="24"/>
          <w:szCs w:val="24"/>
        </w:rPr>
      </w:pPr>
      <w:r w:rsidRPr="00AD484C">
        <w:rPr>
          <w:rFonts w:ascii="Times New Roman" w:hAnsi="Times New Roman" w:cs="Times New Roman"/>
          <w:i/>
          <w:iCs/>
          <w:sz w:val="24"/>
          <w:szCs w:val="24"/>
        </w:rPr>
        <w:t>Tantangan dan Peluang dalam Pengembangan Keuangan Syari'ah</w:t>
      </w:r>
    </w:p>
    <w:p w14:paraId="578325CF" w14:textId="77777777" w:rsidR="007364FC" w:rsidRPr="00AD484C" w:rsidRDefault="00486444" w:rsidP="0067010A">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 xml:space="preserve">Sektor keuangan Syariah menghadapi sejumlah tantangan  signifikan, termasuk: Kurangnya pemahaman masyarakat dan kritik negatif terhadap produk keuangan syariah. Tantangan ini memerlukan perhatian  serius dari pengambil kebijakan moneter.  Studi yang dilakukan oleh Ahmad </w:t>
      </w:r>
      <w:r w:rsidRPr="00AD484C">
        <w:rPr>
          <w:rFonts w:ascii="Times New Roman" w:hAnsi="Times New Roman" w:cs="Times New Roman"/>
          <w:sz w:val="24"/>
          <w:szCs w:val="24"/>
        </w:rPr>
        <w:lastRenderedPageBreak/>
        <w:t xml:space="preserve">dan Hassan (2008) menunjukkan bahwa pendidikan dan dukungan lembaga keuangan dan otoritas keuangan dapat meningkatkan penerimaan masyarakat terhadap ketentuan syariah. </w:t>
      </w:r>
    </w:p>
    <w:p w14:paraId="385F92F4" w14:textId="77777777" w:rsidR="007364FC" w:rsidRPr="00AD484C" w:rsidRDefault="00486444" w:rsidP="0067010A">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Hal ini menunjukkan bahwa kebijakan moneter tidak hanya berperan dalam mengatur perekonomian, namun juga meningkatkan kesadaran dan pemahaman masyarakat terhadap manfaat dan prinsip pembiayaan syariah.</w:t>
      </w:r>
    </w:p>
    <w:p w14:paraId="11B0C3B6" w14:textId="77777777" w:rsidR="007364FC" w:rsidRPr="00AD484C" w:rsidRDefault="00486444" w:rsidP="0067010A">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 xml:space="preserve">Berdasarkan penelitian Khusna &amp; Pratama (2021), temuannya menunjukkan bahwa hanya sedikit responden yang memiliki pemahaman yang baik tentang sistem perbankan dan produk perbankan syariah. Selain itu, terdapat beberapa faktor lain seperti  persepsi negatif terhadap lembaga keuangan syariah dan kurangnya komitmen perbankan dan regulator terhadap manfaat penggunaan layanan perbankan syariah. </w:t>
      </w:r>
    </w:p>
    <w:p w14:paraId="116E80D4" w14:textId="459574DB" w:rsidR="00A06767" w:rsidRPr="00AD484C" w:rsidRDefault="00486444" w:rsidP="0067010A">
      <w:pPr>
        <w:pStyle w:val="ListParagraph"/>
        <w:spacing w:line="240" w:lineRule="auto"/>
        <w:ind w:left="-360" w:firstLine="491"/>
        <w:jc w:val="both"/>
        <w:rPr>
          <w:rFonts w:ascii="Times New Roman" w:hAnsi="Times New Roman" w:cs="Times New Roman"/>
          <w:sz w:val="24"/>
          <w:szCs w:val="24"/>
        </w:rPr>
      </w:pPr>
      <w:r w:rsidRPr="00AD484C">
        <w:rPr>
          <w:rFonts w:ascii="Times New Roman" w:hAnsi="Times New Roman" w:cs="Times New Roman"/>
          <w:sz w:val="24"/>
          <w:szCs w:val="24"/>
        </w:rPr>
        <w:t>Oleh karena itu, diperlukan upaya untuk meningkatkan literasi dan mengedukasi masyarakat mengenai produk-produk lembaga keuangan syariah serta manfaat penggunaannya bagi pertumbuhan perekonomian nasional. Hal ini akan  membantu meningkatkan minat masyarakat terhadap layanan perbankan syariah dan berkontribusi terhadap perkembangan industri perbankan syariah di Indonesia secara keseluruhan (Wahyunitasari et al.</w:t>
      </w:r>
      <w:r w:rsidR="008E0936" w:rsidRPr="00AD484C">
        <w:rPr>
          <w:rFonts w:ascii="Times New Roman" w:hAnsi="Times New Roman" w:cs="Times New Roman"/>
          <w:sz w:val="24"/>
          <w:szCs w:val="24"/>
        </w:rPr>
        <w:t xml:space="preserve"> </w:t>
      </w:r>
      <w:r w:rsidRPr="00AD484C">
        <w:rPr>
          <w:rFonts w:ascii="Times New Roman" w:hAnsi="Times New Roman" w:cs="Times New Roman"/>
          <w:sz w:val="24"/>
          <w:szCs w:val="24"/>
        </w:rPr>
        <w:t>2023).</w:t>
      </w:r>
    </w:p>
    <w:p w14:paraId="69324DD4" w14:textId="77777777" w:rsidR="00A06767" w:rsidRPr="00AD484C" w:rsidRDefault="00A06767" w:rsidP="0067010A">
      <w:pPr>
        <w:pStyle w:val="ListParagraph"/>
        <w:spacing w:line="240" w:lineRule="auto"/>
        <w:ind w:left="-360" w:firstLine="720"/>
        <w:jc w:val="both"/>
        <w:rPr>
          <w:rFonts w:ascii="Times New Roman" w:hAnsi="Times New Roman" w:cs="Times New Roman"/>
          <w:sz w:val="24"/>
          <w:szCs w:val="24"/>
        </w:rPr>
      </w:pPr>
    </w:p>
    <w:p w14:paraId="6FF1F228" w14:textId="77777777" w:rsidR="00947C92" w:rsidRPr="00AD484C" w:rsidRDefault="00DE39B2" w:rsidP="00947C92">
      <w:pPr>
        <w:pStyle w:val="ListParagraph"/>
        <w:numPr>
          <w:ilvl w:val="0"/>
          <w:numId w:val="29"/>
        </w:numPr>
        <w:spacing w:line="240" w:lineRule="auto"/>
        <w:ind w:left="-426" w:hanging="284"/>
        <w:jc w:val="both"/>
        <w:rPr>
          <w:rFonts w:ascii="Times New Roman" w:hAnsi="Times New Roman" w:cs="Times New Roman"/>
          <w:b/>
          <w:bCs/>
          <w:sz w:val="24"/>
          <w:szCs w:val="24"/>
        </w:rPr>
      </w:pPr>
      <w:r w:rsidRPr="00AD484C">
        <w:rPr>
          <w:rFonts w:ascii="Times New Roman" w:hAnsi="Times New Roman" w:cs="Times New Roman"/>
          <w:b/>
          <w:bCs/>
          <w:sz w:val="24"/>
          <w:szCs w:val="24"/>
        </w:rPr>
        <w:t>M</w:t>
      </w:r>
      <w:r w:rsidR="00A06767" w:rsidRPr="00AD484C">
        <w:rPr>
          <w:rFonts w:ascii="Times New Roman" w:hAnsi="Times New Roman" w:cs="Times New Roman"/>
          <w:b/>
          <w:bCs/>
          <w:sz w:val="24"/>
          <w:szCs w:val="24"/>
        </w:rPr>
        <w:t>etodologi</w:t>
      </w:r>
    </w:p>
    <w:p w14:paraId="1F123E2B" w14:textId="77777777" w:rsidR="007364FC" w:rsidRPr="00AD484C" w:rsidRDefault="00A6710D" w:rsidP="004E25F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Penelitian ini merupakan Library Research atau Dokumen menggunakan analisis pendekatan  untuk menyelidiki peran kebijakan moneter dalam mendorong pertumbuhan keuangan Syariah di seluruh dunia. Metode ini mengumpulkan dan menganalisis data sekunder dari berbagai sumber yang berkaitan dengan pertanyaan penelitian. Sumber data utama yang digunakan meliputi literatur mengenai kebijakan keuangan syariah, perkembangan industri keuangan syariah, dan dampaknya terhadap perekonomian global.</w:t>
      </w:r>
    </w:p>
    <w:p w14:paraId="2B550EAA" w14:textId="77777777" w:rsidR="007364FC" w:rsidRPr="00AD484C" w:rsidRDefault="00A6710D" w:rsidP="004E25F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Materi ini berasal dari buku, jurnal, artikel, dan sumber terpercaya lainnya, data statistik, seperti data  kebijakan moneter syariah, inflasi, pertumbuhan ekonomi, dan nilai tukar, yang disediakan oleh lembaga-lembaga seperti Bank Dunia, Dana Moneter Internasional (IMF), dan lembaga publik lainnya juga merupakan bagian penting dari penelitian ini.</w:t>
      </w:r>
    </w:p>
    <w:p w14:paraId="3DD9A733" w14:textId="77777777" w:rsidR="007364FC" w:rsidRPr="00AD484C" w:rsidRDefault="00A6710D" w:rsidP="004E25F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Teknik pengumpulan data yang digunakan adalah tinjauan pustaka, yaitu peneliti membaca dan menganalisis literatur yang relevan secara mendalam. Pendekatan ini memungkinkan peneliti untuk memperoleh pemahaman  komprehensif tentang bagaimana kebijakan keuangan syariah diterapkan di berbagai negara, dampak kebijakan keuangan syariah terhadap pertumbuhan, dan tantangan yang dihadapi dalam penerapannya.</w:t>
      </w:r>
    </w:p>
    <w:p w14:paraId="5CBA9F92" w14:textId="57FDC775" w:rsidR="00DC315C" w:rsidRPr="00AD484C" w:rsidRDefault="00A6710D" w:rsidP="004E25F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Dengan memanfaatkan analisis dokumen tersebut, penelitian ini bertujuan untuk memberikan pemahaman yang mendalam dan terkini mengenai peran kebijakan moneter dalam mendorong pertumbuhan keuangan syariah di tingkat global. Kami berharap hasil penelitian ini dapat memberikan kontribusi terhadap pengembangan kebijakan ekonomi yang lebih inklusif dan berkelanjutan serta memberikan wawasan bagi para pengambil kebijakan, akademisi, dan praktisi keuangan syariah untuk mengoptimalkan manfaat  sistem keuangan syariah di seluruh dunia.</w:t>
      </w:r>
    </w:p>
    <w:p w14:paraId="12B084BB" w14:textId="77777777" w:rsidR="006521F4" w:rsidRPr="00AD484C" w:rsidRDefault="006521F4" w:rsidP="009930F2">
      <w:pPr>
        <w:pStyle w:val="ListParagraph"/>
        <w:spacing w:line="240" w:lineRule="auto"/>
        <w:ind w:left="284"/>
        <w:jc w:val="both"/>
        <w:rPr>
          <w:rFonts w:ascii="Times New Roman" w:hAnsi="Times New Roman" w:cs="Times New Roman"/>
          <w:b/>
          <w:bCs/>
          <w:sz w:val="24"/>
          <w:szCs w:val="24"/>
        </w:rPr>
      </w:pPr>
    </w:p>
    <w:p w14:paraId="383B8C51" w14:textId="77777777" w:rsidR="00947C92" w:rsidRPr="00AD484C" w:rsidRDefault="00A92CD1" w:rsidP="00947C92">
      <w:pPr>
        <w:pStyle w:val="ListParagraph"/>
        <w:numPr>
          <w:ilvl w:val="0"/>
          <w:numId w:val="29"/>
        </w:numPr>
        <w:spacing w:line="240" w:lineRule="auto"/>
        <w:ind w:left="-426" w:hanging="284"/>
        <w:jc w:val="both"/>
        <w:rPr>
          <w:rFonts w:ascii="Times New Roman" w:hAnsi="Times New Roman" w:cs="Times New Roman"/>
          <w:b/>
          <w:bCs/>
          <w:sz w:val="24"/>
          <w:szCs w:val="24"/>
        </w:rPr>
      </w:pPr>
      <w:r w:rsidRPr="00AD484C">
        <w:rPr>
          <w:rFonts w:ascii="Times New Roman" w:hAnsi="Times New Roman" w:cs="Times New Roman"/>
          <w:b/>
          <w:bCs/>
          <w:sz w:val="24"/>
          <w:szCs w:val="24"/>
        </w:rPr>
        <w:t>H</w:t>
      </w:r>
      <w:r w:rsidR="006521F4" w:rsidRPr="00AD484C">
        <w:rPr>
          <w:rFonts w:ascii="Times New Roman" w:hAnsi="Times New Roman" w:cs="Times New Roman"/>
          <w:b/>
          <w:bCs/>
          <w:sz w:val="24"/>
          <w:szCs w:val="24"/>
        </w:rPr>
        <w:t>asil dan Pembahasan</w:t>
      </w:r>
    </w:p>
    <w:p w14:paraId="3B234860" w14:textId="77777777" w:rsidR="00947C92" w:rsidRPr="00AD484C" w:rsidRDefault="00947C92" w:rsidP="00947C92">
      <w:pPr>
        <w:pStyle w:val="ListParagraph"/>
        <w:spacing w:line="240" w:lineRule="auto"/>
        <w:ind w:left="-426"/>
        <w:jc w:val="both"/>
        <w:rPr>
          <w:rFonts w:ascii="Times New Roman" w:hAnsi="Times New Roman" w:cs="Times New Roman"/>
          <w:b/>
          <w:bCs/>
          <w:sz w:val="24"/>
          <w:szCs w:val="24"/>
        </w:rPr>
      </w:pPr>
    </w:p>
    <w:p w14:paraId="2A6FF72E" w14:textId="77777777" w:rsidR="00947C92" w:rsidRPr="00AD484C" w:rsidRDefault="00351EAE" w:rsidP="00C530A6">
      <w:pPr>
        <w:pStyle w:val="ListParagraph"/>
        <w:spacing w:line="240" w:lineRule="auto"/>
        <w:ind w:left="-720"/>
        <w:jc w:val="both"/>
        <w:rPr>
          <w:rFonts w:ascii="Times New Roman" w:hAnsi="Times New Roman" w:cs="Times New Roman"/>
          <w:i/>
          <w:iCs/>
          <w:sz w:val="24"/>
          <w:szCs w:val="24"/>
        </w:rPr>
      </w:pPr>
      <w:r w:rsidRPr="00AD484C">
        <w:rPr>
          <w:rFonts w:ascii="Times New Roman" w:hAnsi="Times New Roman" w:cs="Times New Roman"/>
          <w:i/>
          <w:iCs/>
          <w:sz w:val="24"/>
          <w:szCs w:val="24"/>
        </w:rPr>
        <w:t>Kebijakan Moneter dan Keuangan Syari'ah</w:t>
      </w:r>
    </w:p>
    <w:p w14:paraId="19BB1E38" w14:textId="77777777" w:rsidR="007364FC" w:rsidRPr="00AD484C" w:rsidRDefault="00351EAE"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 xml:space="preserve">Kebijakan moneter merupakan salah satu upaya yang dilakukan pemerintah melalui bank sentral dalam melakukan pengendalian serta mengarahkan keadaan ekonomi makro yang sesuai atau yang lebih baik dengan cara mengendalikan jumlah uang yang beredar di suatu Negara. Keadaan lebih baik maksudnya yaitu meningkatkan kesetimbangan serta pemeliharaan stabilitas harga, dengan adanya kebijakan ini pemerintah bisa menambah, mengurangi serta mempertahankan sejumlah uang yang beredar secara berlebihan di suatu Negara. </w:t>
      </w:r>
      <w:r w:rsidR="002C014B" w:rsidRPr="00AD484C">
        <w:rPr>
          <w:rFonts w:ascii="Times New Roman" w:hAnsi="Times New Roman" w:cs="Times New Roman"/>
          <w:sz w:val="24"/>
          <w:szCs w:val="24"/>
        </w:rPr>
        <w:fldChar w:fldCharType="begin" w:fldLock="1"/>
      </w:r>
      <w:r w:rsidR="00B16518" w:rsidRPr="00AD484C">
        <w:rPr>
          <w:rFonts w:ascii="Times New Roman" w:hAnsi="Times New Roman" w:cs="Times New Roman"/>
          <w:sz w:val="24"/>
          <w:szCs w:val="24"/>
        </w:rPr>
        <w:instrText>ADDIN CSL_CITATION {"citationItems":[{"id":"ITEM-1","itemData":{"DOI":"10.59603/cuan.v1i2.20","ISSN":"2986-707X","abstract":"Monetary policy in Islamic economics is part of the branch of economics that discusses the nature, function and influence on economic activity in a country. Monetary in Islam does not emphasize not only the supply and demand for money, but also the principles of equity and brotherhood, which seek equality and create a fair distribution of wealth and income. The method of writing this article uses a qualitative research approach. The data analysis technique is in the form of descriptive analysis. Descriptive itself is a research result that is described as clearly as possible based on research. Monetary policy can maintain economic stability, this can be seen by balancing the amount of money that is widely spread in a balanced way. If any money in circulation exceeds or is greater or less than a number of goods and services, then the economy in a country will be chaotic.","author":[{"dropping-particle":"","family":"Dini Abdianti","given":"","non-dropping-particle":"","parse-names":false,"suffix":""},{"dropping-particle":"","family":"Anisa Restu","given":"","non-dropping-particle":"","parse-names":false,"suffix":""},{"dropping-particle":"","family":"Sholahuddin Al Ayyubi","given":"","non-dropping-particle":"","parse-names":false,"suffix":""}],"container-title":"Jurnal Kewirausahaan dan Manajemen Bisnis: Cuan","id":"ITEM-1","issue":"2","issued":{"date-parts":[["2023"]]},"page":"106-120","title":"Konsep Kebijakan Moneter Dalam Perspektif Ekonomi Islam","type":"article-journal","volume":"1"},"uris":["http://www.mendeley.com/documents/?uuid=9a78a4a5-5417-4b41-abb3-b9e9e4a5d5c4"]}],"mendeley":{"formattedCitation":"(Dini Abdianti et al., 2023)","plainTextFormattedCitation":"(Dini Abdianti et al., 2023)","previouslyFormattedCitation":"(Dini Abdianti et al., 2023)"},"properties":{"noteIndex":0},"schema":"https://github.com/citation-style-language/schema/raw/master/csl-citation.json"}</w:instrText>
      </w:r>
      <w:r w:rsidR="002C014B" w:rsidRPr="00AD484C">
        <w:rPr>
          <w:rFonts w:ascii="Times New Roman" w:hAnsi="Times New Roman" w:cs="Times New Roman"/>
          <w:sz w:val="24"/>
          <w:szCs w:val="24"/>
        </w:rPr>
        <w:fldChar w:fldCharType="separate"/>
      </w:r>
      <w:r w:rsidR="002C014B" w:rsidRPr="00AD484C">
        <w:rPr>
          <w:rFonts w:ascii="Times New Roman" w:hAnsi="Times New Roman" w:cs="Times New Roman"/>
          <w:noProof/>
          <w:sz w:val="24"/>
          <w:szCs w:val="24"/>
        </w:rPr>
        <w:t>(Dini Abdianti et al., 2023)</w:t>
      </w:r>
      <w:r w:rsidR="002C014B" w:rsidRPr="00AD484C">
        <w:rPr>
          <w:rFonts w:ascii="Times New Roman" w:hAnsi="Times New Roman" w:cs="Times New Roman"/>
          <w:sz w:val="24"/>
          <w:szCs w:val="24"/>
        </w:rPr>
        <w:fldChar w:fldCharType="end"/>
      </w:r>
    </w:p>
    <w:p w14:paraId="2CD79919" w14:textId="77777777" w:rsidR="007364FC" w:rsidRPr="00AD484C" w:rsidRDefault="009930F2"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K</w:t>
      </w:r>
      <w:r w:rsidR="00351EAE" w:rsidRPr="00AD484C">
        <w:rPr>
          <w:rFonts w:ascii="Times New Roman" w:hAnsi="Times New Roman" w:cs="Times New Roman"/>
          <w:sz w:val="24"/>
          <w:szCs w:val="24"/>
        </w:rPr>
        <w:t xml:space="preserve">ebijakan moneter yakni alat yang disengaja dari bank sentral untuk mempengaruhi variabel keuangan misalnya tingkat bunga dan jumlah uang beredar. Misi yang ditargetkan disini yaitu untuk memelihara stabilnya uang dengan faktor dari dalam dan luar. Stabilnya nilai mata uang ini memperlihatkan stabilnya harga di kemudian hari dan sesuai dengan pencapaian misi suatu pembangunan </w:t>
      </w:r>
      <w:r w:rsidR="00351EAE" w:rsidRPr="00AD484C">
        <w:rPr>
          <w:rFonts w:ascii="Times New Roman" w:hAnsi="Times New Roman" w:cs="Times New Roman"/>
          <w:sz w:val="24"/>
          <w:szCs w:val="24"/>
        </w:rPr>
        <w:lastRenderedPageBreak/>
        <w:t>misalnya memenuhi permintaan dasar nasional, pemerataan penyaluran, perluasan lapangan kerja, peningkatan ekonomi riil, dan stabilnya suatu ekonomi. Manajemen moneter Islam merupakan pengaturan moneter yang berdasarkan kepada unsurunsur Islam.</w:t>
      </w:r>
    </w:p>
    <w:p w14:paraId="0CDD5C11" w14:textId="77777777" w:rsidR="007364FC" w:rsidRPr="00AD484C" w:rsidRDefault="00351EAE"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Kebijakan moneter ini sangat berperan penting untuk mengatur dan menjaga stabilitas prekonomian. Semakin jelas juga bahwa untuk menjaga kestabilan jumlah uang yang beredar maka bank sentral harus berupaya untuk menjaga kestabilan moneter. Bentuk kebijakan moneter salah satunya adalah pengendalian peredaran uang yang beredar secara berlimpah.</w:t>
      </w:r>
    </w:p>
    <w:p w14:paraId="5317D937" w14:textId="77777777" w:rsidR="007364FC" w:rsidRPr="00AD484C" w:rsidRDefault="00351EAE"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Semakin banyak uang yang beredar, maka harga akan naik yang pada akhirnya mempengaruhi daya beli masyarakat. Pernyataan lain juga menyebutkan bahwa kebijakan moneter yaitu kebijakan yang mengacu pada bank sentral terhadap uang yang beredar dan peredaran uang di suatu negara, dengan tujuan mencapai keseimbangan pertumbuhan ekonomi yang tinggi,stabilitas harga, dan pembangunan ekonomi yang merata.</w:t>
      </w:r>
    </w:p>
    <w:p w14:paraId="7C0AD018" w14:textId="77777777" w:rsidR="007364FC" w:rsidRPr="00AD484C" w:rsidRDefault="00A73CB3"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Peran prinsip syariah dalam kebijakan moneter adalah krusial dalam mengatur sistem keuangan yang sesuai dengan nilai-nilai Islam. Prinsip-prinsip seperti larangan riba (bunga), gharar (ketidakpastian), dan spekulasi menjadi landasan bagi pengambilan keputusan dalam penetapan kebijakan moneter. Misalnya, larangan riba mendorong otoritas moneter untuk mencari alternatif dalam menetapkan suku bunga yang adil dan berkelanjutan, yang memperhatikan keseimbangan antara pertumbuhan ekonomi dan stabilitas harga.(I. A. Putri &amp; Nasution, 2022).</w:t>
      </w:r>
    </w:p>
    <w:p w14:paraId="0EA8F378" w14:textId="77777777" w:rsidR="007364FC" w:rsidRPr="00AD484C" w:rsidRDefault="00A73CB3"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Selain itu, prinsip syariah juga mempengaruhi pengaturan likuiditas dan regulasi pasar keuangan. Kebijakan moneter yang berbasis syariah cenderung lebih memperhatikan keadilan dan kesejahteraan masyarakat dalam penetapan kebijakan likuiditas dan pengelolaan risiko keuangan. Ini dapat tercermin dalam pendekatan yang lebih konservatif terhadap risiko dan kehati-hatian dalam penggunaan instrumen keuangan yang melibatkan unsur spekulatif atau gharar. (Mansur, 2013).</w:t>
      </w:r>
    </w:p>
    <w:p w14:paraId="4746C9FC" w14:textId="77777777" w:rsidR="007364FC" w:rsidRPr="00AD484C" w:rsidRDefault="00A73CB3"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 xml:space="preserve">Dengan demikian, peran prinsip syariah dalam kebijakan moneter adalah untuk menciptakan sistem keuangan yang sesuai dengan nilai-nilai Islam, memastikan distribusi keadilan, kestabilan harga, dan pertumbuhan ekonomi yang berkelanjutan. Melalui penerapan prinsip syariah dalam kebijakan moneter, diharapkan dapat tercipta lingkungan keuangan yang lebih inklusif, adil, dan berkelanjutan bagi masyarakat Muslim dan nonMuslim.(Wulandari, 2021). </w:t>
      </w:r>
    </w:p>
    <w:p w14:paraId="4D6D5693" w14:textId="77777777" w:rsidR="007364FC" w:rsidRPr="00AD484C" w:rsidRDefault="00A73CB3"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Pendekatan kebijakan moneter yang didasarkan pada prinsip syariah juga menekankan pentingnya distribusi keadilan dalam sistem keuangan. Ini mencakup perlindungan terhadap ketidakadilan dan penyalahgunaan kekuasaan dalam transaksi keuangan. Selain itu, prinsip-prinsip syariah juga mendorong transparansi dan akuntabilitas dalam pelaksanaan kebijakan moneter, memastikan bahwa keputusan yang diambil mencerminkan kepentingan umum dan mencapai tujuan-tujuan makroekonomi yang diinginkan.(Sitepu, 2017).</w:t>
      </w:r>
    </w:p>
    <w:p w14:paraId="751C8DBE" w14:textId="10349CBA" w:rsidR="00947C92" w:rsidRPr="00AD484C" w:rsidRDefault="00A73CB3"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Dengan mendasarkan kebijakan moneter pada prinsip-prinsip syariah, diharapkan sistem keuangan dapat beroperasi dalam batas-batas yang sesuai dengan nilai-nilai Islam, sambil tetap memfasilitasi pertumbuhan ekonomi yang inklusif dan berkelanjutan. Ini menempatkan penekanan yang kuat pada keadilan, transparansi, dan keseimbangan antara pertumbuhan ekonomi dan stabilitas harga, yang merupakan elemen-elemen kunci dalam membangun ekonomi yang sehat dan berdaya tahan.</w:t>
      </w:r>
    </w:p>
    <w:p w14:paraId="5078CAF7" w14:textId="77777777" w:rsidR="007364FC" w:rsidRPr="00AD484C" w:rsidRDefault="007364FC" w:rsidP="007364FC">
      <w:pPr>
        <w:pStyle w:val="ListParagraph"/>
        <w:spacing w:line="240" w:lineRule="auto"/>
        <w:ind w:left="-426" w:firstLine="426"/>
        <w:jc w:val="both"/>
        <w:rPr>
          <w:rFonts w:ascii="Times New Roman" w:hAnsi="Times New Roman" w:cs="Times New Roman"/>
          <w:sz w:val="24"/>
          <w:szCs w:val="24"/>
        </w:rPr>
      </w:pPr>
    </w:p>
    <w:p w14:paraId="60BDAFFF" w14:textId="77777777" w:rsidR="00947C92" w:rsidRPr="00AD484C" w:rsidRDefault="00351EAE" w:rsidP="00C530A6">
      <w:pPr>
        <w:pStyle w:val="ListParagraph"/>
        <w:spacing w:line="240" w:lineRule="auto"/>
        <w:ind w:left="-720"/>
        <w:jc w:val="both"/>
        <w:rPr>
          <w:rFonts w:ascii="Times New Roman" w:hAnsi="Times New Roman" w:cs="Times New Roman"/>
          <w:i/>
          <w:iCs/>
          <w:sz w:val="24"/>
          <w:szCs w:val="24"/>
        </w:rPr>
      </w:pPr>
      <w:r w:rsidRPr="00AD484C">
        <w:rPr>
          <w:rFonts w:ascii="Times New Roman" w:hAnsi="Times New Roman" w:cs="Times New Roman"/>
          <w:i/>
          <w:iCs/>
          <w:sz w:val="24"/>
          <w:szCs w:val="24"/>
        </w:rPr>
        <w:t>Pengaruh Kebijakan Moneter Terhadap Keuangan Syari'ah</w:t>
      </w:r>
    </w:p>
    <w:p w14:paraId="3BAE1D3A" w14:textId="77777777" w:rsidR="007364FC" w:rsidRPr="00AD484C" w:rsidRDefault="00F703D1"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 xml:space="preserve">Pengaruh kebijakan moneter syariah terhadap </w:t>
      </w:r>
      <w:r w:rsidR="009453DF" w:rsidRPr="00AD484C">
        <w:rPr>
          <w:rFonts w:ascii="Times New Roman" w:hAnsi="Times New Roman" w:cs="Times New Roman"/>
          <w:sz w:val="24"/>
          <w:szCs w:val="24"/>
        </w:rPr>
        <w:t>keuangan</w:t>
      </w:r>
      <w:r w:rsidRPr="00AD484C">
        <w:rPr>
          <w:rFonts w:ascii="Times New Roman" w:hAnsi="Times New Roman" w:cs="Times New Roman"/>
          <w:sz w:val="24"/>
          <w:szCs w:val="24"/>
        </w:rPr>
        <w:t xml:space="preserve"> menjadi perhatian penting dalam konteks ekonomi yang berbasis pada prinsip-prinsip Islam. Salah satu aspek penting dalam kebijakan moneter syariah adalah pengendalian inflasi, yang merupakan tujuan utama dalam memastikan stabilitas harga yang sesuai dengan prinsip keadilan dan kesejahteraan. Kebijakan moneter syariah cenderung lebih konservatif dalam menetapkan suku bunga dan lebih memperhatikan stabilitas harga jangka panjang, yang dapat memiliki dampak yang berbeda terhadap tingkat inflasi dibandingkan dengan kebijakan konvensional.(Perdana et al., 2020).</w:t>
      </w:r>
    </w:p>
    <w:p w14:paraId="5F53585F" w14:textId="77777777" w:rsidR="007364FC" w:rsidRPr="00AD484C" w:rsidRDefault="00F703D1"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 xml:space="preserve">Selain itu, pengaruh kebijakan moneter syariah juga dapat terlihat dalam nilai tukar mata uang. Penetapan suku bunga yang lebih rendah atau penggunaan instrumen keuangan yang lebih konservatif dalam kebijakan moneter syariah dapat mempengaruhi aliran modal dan permintaan mata uang negara tersebut. Implikasi ini dapat berdampak pada nilai tukar mata uang, terutama dalam jangka panjang, </w:t>
      </w:r>
      <w:r w:rsidRPr="00AD484C">
        <w:rPr>
          <w:rFonts w:ascii="Times New Roman" w:hAnsi="Times New Roman" w:cs="Times New Roman"/>
          <w:sz w:val="24"/>
          <w:szCs w:val="24"/>
        </w:rPr>
        <w:lastRenderedPageBreak/>
        <w:t xml:space="preserve">karena faktor-faktor seperti keseimbangan pembayaran dan kepercayaan investor dapat berubah seiring dengan kebijakan moneter yang diterapkan. </w:t>
      </w:r>
    </w:p>
    <w:p w14:paraId="57FCF619" w14:textId="77777777" w:rsidR="007364FC" w:rsidRPr="00AD484C" w:rsidRDefault="00F703D1"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Dalam kerangka yang lebih luas, penting untuk memahami bahwa pengaruh kebijakan moneter syariah terhadap inflasi dan nilai tukar dapat berbeda-beda tergantung pada konteks ekonomi dan sistem keuangan negara yang bersangkutan. Dalam mengkaji dampak kebijakan moneter syariah, perlu diperhatikan juga interaksi dengan faktor-faktor eksternal dan internal lainnya yang dapat memengaruhi inflasi dan nilai tukar, seperti politik fiskal, kondisi pasar global, dan ketidakpastian ekonomi.</w:t>
      </w:r>
    </w:p>
    <w:p w14:paraId="6D4F7C0A" w14:textId="77777777" w:rsidR="007364FC" w:rsidRPr="00AD484C" w:rsidRDefault="00DF6A02"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Pengalaman negara-negara dengan sistem keuangan syariah memberikan wawasan berharga tentang implementasi kebijakan moneter syariah dan dampaknya terhadap stabilitas mata uang. Malaysia, sebagai salah satu pemimpin dalam industri keuangan syariah, telah menunjukkan komitmen yang kuat terhadap pengembangan sistem keuangan yang sesuai dengan prinsip syariah. Pengalaman Malaysia dalam mengadopsi kebijakan moneter syariah menunjukkan bahwa pendekatan yang berbasis pada keadilan, transparansi, dan keseimbangan antara pertumbuhan ekonomi dan stabilitas harga dapat menghasilkan hasil yang positif dalam jangka panjang.(Affandi, 2016).</w:t>
      </w:r>
    </w:p>
    <w:p w14:paraId="225CCD7D" w14:textId="6F4CB883" w:rsidR="006521F4" w:rsidRPr="00AD484C" w:rsidRDefault="00DF6A02" w:rsidP="00C530A6">
      <w:pPr>
        <w:pStyle w:val="ListParagraph"/>
        <w:spacing w:line="240" w:lineRule="auto"/>
        <w:ind w:left="-720" w:firstLine="426"/>
        <w:jc w:val="both"/>
        <w:rPr>
          <w:rFonts w:ascii="Times New Roman" w:hAnsi="Times New Roman" w:cs="Times New Roman"/>
          <w:sz w:val="24"/>
          <w:szCs w:val="24"/>
        </w:rPr>
      </w:pPr>
      <w:r w:rsidRPr="00AD484C">
        <w:rPr>
          <w:rFonts w:ascii="Times New Roman" w:hAnsi="Times New Roman" w:cs="Times New Roman"/>
          <w:sz w:val="24"/>
          <w:szCs w:val="24"/>
        </w:rPr>
        <w:t>Secara keseluruhan, pengalaman negara-negara dengan sistem keuangan syariah menyoroti pentingnya kesesuaian antara prinsip-prinsip syariah, kebijakan moneter, dan tujuan makroekonomi. Dengan memahami tantangan dan peluang yang dihadapi dalam mengadopsi kebijakan moneter syariah, negara-negara lain dapat mengambil langkahlangkah yang tepat dalam memperkuat sistem keuangan mereka, mempromosikan stabilitas mata uang, dan mendorong pertumbuhan ekonomi yang berkelanjutan. Negara-negara dengan sistem keuangan syariah telah mengalami berbagai pengalaman dalam pengembangan dan pengaplikasian prinsip-prinsip syariah dalam keuangan. Berikut adalah beberapa contoh (Affandi, 2016):</w:t>
      </w:r>
    </w:p>
    <w:p w14:paraId="14C8B27B" w14:textId="77777777" w:rsidR="00947C92" w:rsidRPr="00AD484C" w:rsidRDefault="00DF6A02" w:rsidP="00947C92">
      <w:pPr>
        <w:pStyle w:val="ListParagraph"/>
        <w:numPr>
          <w:ilvl w:val="0"/>
          <w:numId w:val="26"/>
        </w:numPr>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Indonesia : Sebagai negara dengan penduduk Muslim terbesar di dunia, Indonesia memiliki potensi besar untuk mengembangkan ekonomi dan keuangan syariah. Pendekatan ini bukan hanya mencakup aspek keagamaan, tetapi juga memiliki implikasi ekonomi yang signifikan. Dengan mengadopsi prinsip-prinsip ekonomi Islam, Indonesia dapat memanfaatkan sumber daya dan pasar yang besar untuk mendukung pertumbuhan ekonomi yang inklusif dan berkelanjutan. Salah satu bidang potensial untuk pengembangan ekonomi syariah di Indonesia adalah dalam mendukung pendanaan prioritas-prioritas pembangunan, seperti proyek-proyek infrastruktur, pendidikan, dan pertanian.</w:t>
      </w:r>
    </w:p>
    <w:p w14:paraId="0FA6FBA7" w14:textId="045D9278" w:rsidR="00994F3B" w:rsidRPr="00AD484C" w:rsidRDefault="00DF6A02" w:rsidP="00947C92">
      <w:pPr>
        <w:pStyle w:val="ListParagraph"/>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Dengan memanfaatkan instrumen-instrumen keuangan syariah seperti obligasi sukuk dan pembiayaan mikro syariah, Indonesia dapat memobilisasi dana dalam skala besar untuk mendukung proyek-proyek strategis yang dapat meningkatkan produktivitas dan kesejahteraan masyarakat. Namun, untuk meraih potensi penuh dari ekonomi dan keuangan syariah, Indonesia perlu terus memperkuat infrastruktur pasar, regulasi yang kondusif, dan literasi keuangan syariah di kalangan masyarakat. Dengan langkah-langkah ini, Indonesia dapat menjadi pusat keuangan syariah yang terkemuka di dunia, memberikan kontribusi yang signifikan terhadap pembangunan ekonomi yang berkelanjutan dan inklusif di tingkat nasional dan regional.</w:t>
      </w:r>
    </w:p>
    <w:p w14:paraId="011B5A96" w14:textId="77777777" w:rsidR="00947C92" w:rsidRPr="00AD484C" w:rsidRDefault="00DF6A02" w:rsidP="00947C92">
      <w:pPr>
        <w:pStyle w:val="ListParagraph"/>
        <w:numPr>
          <w:ilvl w:val="0"/>
          <w:numId w:val="26"/>
        </w:numPr>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 xml:space="preserve">Malaysia: Di Malaysia, pertumbuhan ekonomi syariah telah menjadi fokus utama dalam upaya pemerintah untuk memperkuat sektor keuangan negara. Dengan aset perbankan syariah mencapai RM 350,8 miliar (USD 166 miliar), sektor keuangan syariah Malaysia telah menunjukkan pertumbuhan yang signifikan dalam beberapa tahun terakhir. Sektor ini menguasai 21% pangsa pasar, menegaskan posisi Malaysia sebagai salah satu pemimpin dalam industri keuangan syariah di tingkat global. Pertumbuhan sektor keuangan syariah di Malaysia tidak hanya didorong oleh permintaan domestik, tetapi juga oleh minat internasional yang meningkat terhadap produk-produk keuangan berbasis syariah. </w:t>
      </w:r>
    </w:p>
    <w:p w14:paraId="495B4014" w14:textId="38571DB4" w:rsidR="00994F3B" w:rsidRPr="00AD484C" w:rsidRDefault="00DF6A02" w:rsidP="00947C92">
      <w:pPr>
        <w:pStyle w:val="ListParagraph"/>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 xml:space="preserve">Pemerintah Malaysia telah aktif dalam mempromosikan pembangunan sektor keuangan syariah sebagai bagian dari strategi untuk memperkuat status negara sebagai pusat keuangan internasional. Langkah-langkah ini telah mencakup peningkatan infrastruktur pasar, insentif perpajakan, dan dukungan untuk inovasi produk keuangan syariah. Dengan pertumbuhan yang stabil dan dukungan pemerintah yang kuat, sektor keuangan syariah Malaysia diharapkan akan terus berkembang dalam beberapa tahun mendatang. Ini tidak hanya akan memberikan kontribusi signifikan terhadap </w:t>
      </w:r>
      <w:r w:rsidRPr="00AD484C">
        <w:rPr>
          <w:rFonts w:ascii="Times New Roman" w:hAnsi="Times New Roman" w:cs="Times New Roman"/>
          <w:sz w:val="24"/>
          <w:szCs w:val="24"/>
        </w:rPr>
        <w:lastRenderedPageBreak/>
        <w:t xml:space="preserve">perekonomian Malaysia, tetapi juga akan memperkuat posisi negara ini sebagai pusat keuangan syariah yang penting di tingkat global. </w:t>
      </w:r>
    </w:p>
    <w:p w14:paraId="182E30CE" w14:textId="77777777" w:rsidR="00947C92" w:rsidRPr="00AD484C" w:rsidRDefault="00DF6A02" w:rsidP="00947C92">
      <w:pPr>
        <w:pStyle w:val="ListParagraph"/>
        <w:numPr>
          <w:ilvl w:val="0"/>
          <w:numId w:val="26"/>
        </w:numPr>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 xml:space="preserve">Bahrain: Di Bahrain, sistem keuangan syariah telah menjadi bagian integral dari struktur keuangan negara sejak tahun 1970-an. Bahrain merupakan salah satu pelopor dalam pengembangan sistem keuangan syariah di dunia Arab. Dengan didukung oleh regulasi yang kondusif dan dukungan pemerintah yang kuat, Bahrain telah berhasil membangun lingkungan yang ramah bagi lembagalembaga keuangan syariah. Sejak saat itu, Bahrain telah menjadi salah satu negara dengan jumlah institusi keuangan syariah terbanyak di dunia. Keberhasilan Bahrain dalam mengembangkan sistem keuangan syariah tidak hanya didasarkan pada dukungan pemerintah, tetapi juga pada inovasi produk dan layanan keuangan syariah yang terus berkembang. </w:t>
      </w:r>
    </w:p>
    <w:p w14:paraId="35E1C79C" w14:textId="77777777" w:rsidR="00947C92" w:rsidRPr="00AD484C" w:rsidRDefault="00DF6A02" w:rsidP="00947C92">
      <w:pPr>
        <w:pStyle w:val="ListParagraph"/>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Lembaga-lembaga keuangan syariah di Bahrain terus berinovasi dalam menciptakan produk-produk yang sesuai dengan prinsip-prinsip syariah dan memenuhi kebutuhan pasar yang berkembang. Hal ini telah membantu memperkuat posisi Bahrain sebagai pusat keuangan syariah yang terkemuka di dunia. Dengan warisan yang kaya dan komitmen yang kuat terhadap pengembangan keuangan syariah, Bahrain diharapkan akan terus menjadi pemimpin dalam industri keuangan syariah. Dukungan pemerintah yang berkelanjutan, kerjasama lintas sektor, dan inovasi produk keuangan syariah akan menjadi kunci untuk mempertahankan dan meningkatkan posisi Bahrain sebagai pusat keuangan syariah global.</w:t>
      </w:r>
    </w:p>
    <w:p w14:paraId="12C960F7" w14:textId="0017ABE2" w:rsidR="006521F4" w:rsidRPr="00AD484C" w:rsidRDefault="009453DF" w:rsidP="00947C92">
      <w:pPr>
        <w:pStyle w:val="ListParagraph"/>
        <w:numPr>
          <w:ilvl w:val="0"/>
          <w:numId w:val="26"/>
        </w:numPr>
        <w:spacing w:line="240" w:lineRule="auto"/>
        <w:ind w:left="0"/>
        <w:jc w:val="both"/>
        <w:rPr>
          <w:rFonts w:ascii="Times New Roman" w:hAnsi="Times New Roman" w:cs="Times New Roman"/>
          <w:sz w:val="24"/>
          <w:szCs w:val="24"/>
        </w:rPr>
      </w:pPr>
      <w:r w:rsidRPr="00AD484C">
        <w:rPr>
          <w:rFonts w:ascii="Times New Roman" w:hAnsi="Times New Roman" w:cs="Times New Roman"/>
          <w:sz w:val="24"/>
          <w:szCs w:val="24"/>
        </w:rPr>
        <w:t>Turki: Turki telah menjadi pusat penting dalam pengembangan sistem keuangan syariah di tingkat global. Negara ini telah mengambil langkah progresif dalam membangun infrastruktur keuangan syariah yang kuat dan beragam. Dengan regulasi yang kondusif dan dukungan pemerintah yang kuat, Turki telah berhasil menarik minat investor dan lembaga-lembaga keuangan syariah dari berbagai belahan dunia. Sejak itu, Turki telah menjadi negara dengan jumlah institusi keuangan syariah terbanyak di dunia, menegaskan posisinya sebagai pemimpin dalam industri keuangan syariah. Pertumbuhan sektor keuangan syariah di Turki telah didorong oleh berbagai faktor, termasuk dukungan pemerintah yang berkelanjutan, inovasi produk keuangan syariah, dan permintaan pasar yang meningkat. Lembagalembaga keuangan syariah di Turki terus berinovasi dalam menciptakan produkproduk yang sesuai dengan prinsip-prinsip syariah dan memenuhi kebutuhan pasar yang berkembang. Hal ini telah memperkuat posisi Turki sebagai destinasi utama bagi para pelaku industri keuangan syariah. Dengan potensi pertumbuhan yang masih besar, Turki terus berkomitmen untuk memperluas dan memperkuat sektor keuangan syariahnya. Melalui kerjasama lintas sektor dan lintas negara, Turki dapat memperluas dampak positifnya dalam pengembangan industri keuangan syariah di tingkat global. Ini tidak hanya akan memberikan manfaat ekonomi yang signifikan bagi Turki sendiri, tetapi juga akan meningkatkan kontribusinya terhadap pertumbuhan industri keuangan syariah secara keseluruhan.</w:t>
      </w:r>
      <w:r w:rsidR="00B16518" w:rsidRPr="00AD484C">
        <w:rPr>
          <w:rFonts w:ascii="Times New Roman" w:hAnsi="Times New Roman" w:cs="Times New Roman"/>
          <w:sz w:val="24"/>
          <w:szCs w:val="24"/>
        </w:rPr>
        <w:fldChar w:fldCharType="begin" w:fldLock="1"/>
      </w:r>
      <w:r w:rsidR="0059735F" w:rsidRPr="00AD484C">
        <w:rPr>
          <w:rFonts w:ascii="Times New Roman" w:hAnsi="Times New Roman" w:cs="Times New Roman"/>
          <w:sz w:val="24"/>
          <w:szCs w:val="24"/>
        </w:rPr>
        <w:instrText>ADDIN CSL_CITATION {"citationItems":[{"id":"ITEM-1","itemData":{"abstract":"Sharia monetary policy has become the focus of attention in global economic studies, especially in the context of efforts to maintain currency stability. With principles based on Islamic values, sharia monetary policy emphasizes the prohibition of usury, transparency, justice and economic balance. Through the prohibition of usury, sharia monetary policy influences interest rates, credit, and inflation, which in turn impact currency exchange rates. Transparency in sharia monetary policy also increases public confidence in the financial system and currency, while fairness in the distribution of wealth can create sustainable socioeconomic stability. The principles of economic balance in sharia monetary policy also play an important role in influencing currency stability by maintaining a balance between the supply and demand for money. As a result, Sharia monetary policy promotes long-term stability in the financial system and currency, which in turn contributes to economic sustainability and currency exchange rate stability in the long-term.","author":[{"dropping-particle":"","family":"Ningrum","given":"Deviana Putri","non-dropping-particle":"","parse-names":false,"suffix":""},{"dropping-particle":"","family":"Hasanah","given":"Siti Aisyah","non-dropping-particle":"","parse-names":false,"suffix":""},{"dropping-particle":"","family":"Zaroh","given":"Yuni","non-dropping-particle":"","parse-names":false,"suffix":""},{"dropping-particle":"","family":"Firdaus","given":"Naufal","non-dropping-particle":"","parse-names":false,"suffix":""}],"container-title":"Jurnal Media Akademik","id":"ITEM-1","issue":"6","issued":{"date-parts":[["2024"]]},"page":"3031-5220","title":"Pengaruh Kebijakan Moneter Syariah Terhadap Stabilitas Mata Uang","type":"article-journal","volume":"2"},"uris":["http://www.mendeley.com/documents/?uuid=d40ba42c-1cd3-47c6-9fe0-2c9ecfe8ff91"]}],"mendeley":{"formattedCitation":"(Ningrum et al., 2024)","plainTextFormattedCitation":"(Ningrum et al., 2024)","previouslyFormattedCitation":"(Ningrum et al., 2024)"},"properties":{"noteIndex":0},"schema":"https://github.com/citation-style-language/schema/raw/master/csl-citation.json"}</w:instrText>
      </w:r>
      <w:r w:rsidR="00B16518" w:rsidRPr="00AD484C">
        <w:rPr>
          <w:rFonts w:ascii="Times New Roman" w:hAnsi="Times New Roman" w:cs="Times New Roman"/>
          <w:sz w:val="24"/>
          <w:szCs w:val="24"/>
        </w:rPr>
        <w:fldChar w:fldCharType="separate"/>
      </w:r>
      <w:r w:rsidR="00B16518" w:rsidRPr="00AD484C">
        <w:rPr>
          <w:rFonts w:ascii="Times New Roman" w:hAnsi="Times New Roman" w:cs="Times New Roman"/>
          <w:noProof/>
          <w:sz w:val="24"/>
          <w:szCs w:val="24"/>
        </w:rPr>
        <w:t>(Ningrum et al., 2024)</w:t>
      </w:r>
      <w:r w:rsidR="00B16518" w:rsidRPr="00AD484C">
        <w:rPr>
          <w:rFonts w:ascii="Times New Roman" w:hAnsi="Times New Roman" w:cs="Times New Roman"/>
          <w:sz w:val="24"/>
          <w:szCs w:val="24"/>
        </w:rPr>
        <w:fldChar w:fldCharType="end"/>
      </w:r>
    </w:p>
    <w:p w14:paraId="36231162" w14:textId="77777777" w:rsidR="00947C92" w:rsidRPr="00AD484C" w:rsidRDefault="00351EAE" w:rsidP="003228F0">
      <w:pPr>
        <w:spacing w:line="240" w:lineRule="auto"/>
        <w:ind w:left="-630"/>
        <w:jc w:val="both"/>
        <w:rPr>
          <w:rFonts w:ascii="Times New Roman" w:hAnsi="Times New Roman" w:cs="Times New Roman"/>
          <w:i/>
          <w:iCs/>
          <w:sz w:val="24"/>
          <w:szCs w:val="24"/>
        </w:rPr>
      </w:pPr>
      <w:r w:rsidRPr="00AD484C">
        <w:rPr>
          <w:rFonts w:ascii="Times New Roman" w:hAnsi="Times New Roman" w:cs="Times New Roman"/>
          <w:i/>
          <w:iCs/>
          <w:sz w:val="24"/>
          <w:szCs w:val="24"/>
        </w:rPr>
        <w:t>Sinergi Kebijakan Moneter dan Regulasi Keuangan Syari’ah</w:t>
      </w:r>
    </w:p>
    <w:p w14:paraId="34E577E4" w14:textId="77777777" w:rsidR="007364FC" w:rsidRPr="00AD484C" w:rsidRDefault="0059735F" w:rsidP="003228F0">
      <w:pPr>
        <w:spacing w:line="240" w:lineRule="auto"/>
        <w:ind w:left="-630" w:firstLine="568"/>
        <w:jc w:val="both"/>
        <w:rPr>
          <w:rFonts w:ascii="Times New Roman" w:hAnsi="Times New Roman" w:cs="Times New Roman"/>
          <w:i/>
          <w:iCs/>
          <w:sz w:val="24"/>
          <w:szCs w:val="24"/>
        </w:rPr>
      </w:pPr>
      <w:r w:rsidRPr="00AD484C">
        <w:rPr>
          <w:rFonts w:ascii="Times New Roman" w:hAnsi="Times New Roman" w:cs="Times New Roman"/>
          <w:sz w:val="24"/>
          <w:szCs w:val="24"/>
        </w:rPr>
        <w:t>Kebijakan moneter merupakan salah</w:t>
      </w:r>
      <w:r w:rsidR="00CC6F83" w:rsidRPr="00AD484C">
        <w:rPr>
          <w:rFonts w:ascii="Times New Roman" w:hAnsi="Times New Roman" w:cs="Times New Roman"/>
          <w:sz w:val="24"/>
          <w:szCs w:val="24"/>
        </w:rPr>
        <w:t xml:space="preserve"> </w:t>
      </w:r>
      <w:r w:rsidRPr="00AD484C">
        <w:rPr>
          <w:rFonts w:ascii="Times New Roman" w:hAnsi="Times New Roman" w:cs="Times New Roman"/>
          <w:sz w:val="24"/>
          <w:szCs w:val="24"/>
        </w:rPr>
        <w:t>satu bidang kebijakan ekonomi yang berperan sangat penting dalam mengatur dan mendukung stabilitas ekonomi negara. Jika uang yang beredar di negara tersebut berkurang secara tidak perlu, perekonomian negara tersebut akan mengalami resesi. Sebaliknya, ketika jumlah uang yang beredar di suatu negara melebihi permintaan, maka negara tersebut cenderung mengalami inflasi yang tinggi. Ini berarti mengganggu stabilitas keuangan (Y. Sari, 2024) Dan Stabilitas sistem keuangan adalah suatu kondisi dimana sistem mekanismenya mampu mengalokasikan sumber dana nya secara baik dan bisa membantu pertumbuhan ekonomi, sehingga bisa mencegah gangguan terhadap kegiatan sektor riil dan sistem keuangan (Jumiati &amp; Al-Muhajirin Purwakarta, 2022).</w:t>
      </w:r>
    </w:p>
    <w:p w14:paraId="56BCCA5C" w14:textId="77777777" w:rsidR="007364FC" w:rsidRPr="00AD484C" w:rsidRDefault="0059735F" w:rsidP="003228F0">
      <w:pPr>
        <w:spacing w:line="240" w:lineRule="auto"/>
        <w:ind w:left="-630" w:firstLine="568"/>
        <w:jc w:val="both"/>
        <w:rPr>
          <w:rFonts w:ascii="Times New Roman" w:hAnsi="Times New Roman" w:cs="Times New Roman"/>
          <w:i/>
          <w:iCs/>
          <w:sz w:val="24"/>
          <w:szCs w:val="24"/>
        </w:rPr>
      </w:pPr>
      <w:r w:rsidRPr="00AD484C">
        <w:rPr>
          <w:rFonts w:ascii="Times New Roman" w:hAnsi="Times New Roman" w:cs="Times New Roman"/>
          <w:sz w:val="24"/>
          <w:szCs w:val="24"/>
        </w:rPr>
        <w:t xml:space="preserve">Kebijakan moneter merupakan salah satu instrumen utama yang digunakan oleh pemerintah melalui bank sentral untuk mencapai tujuan-tujuan makroekonomi, seperti mendorong pertumbuhan ekonomi yang berkelanjutan dan mengendalikan inflasi (Susilowati &amp; Wahyuningdyah dalam Hatidja et al., 2024). Salah satu aspek utama yang perlu dipertimbangkan adalah mekanisme transmisi kebijakan moneter dari bank sentral ke tingkat inflasi. Bank Sentral, termasuk Bank Indonesia (BI) di Indonesia, memiliki peran utama dalam pelaksanaan kebijakan moneter dengan maksud untuk meningkatkan </w:t>
      </w:r>
      <w:r w:rsidRPr="00AD484C">
        <w:rPr>
          <w:rFonts w:ascii="Times New Roman" w:hAnsi="Times New Roman" w:cs="Times New Roman"/>
          <w:sz w:val="24"/>
          <w:szCs w:val="24"/>
        </w:rPr>
        <w:lastRenderedPageBreak/>
        <w:t xml:space="preserve">stabilitas nilai rupiah, yang tercermin dalam indikator inflasi dan nilai tukar rupiah. Berbagai mekanisme, seperti operasi pasar terbuka, fasilitas diskonto, rasio cadangan wajib, dan imbauan moral, digunakan dalam operasionalisasi kebijakan moneter. </w:t>
      </w:r>
    </w:p>
    <w:p w14:paraId="23340B96" w14:textId="2D0C94FF" w:rsidR="006521F4" w:rsidRPr="00AD484C" w:rsidRDefault="0059735F" w:rsidP="003228F0">
      <w:pPr>
        <w:spacing w:line="240" w:lineRule="auto"/>
        <w:ind w:left="-630" w:firstLine="568"/>
        <w:jc w:val="both"/>
        <w:rPr>
          <w:rFonts w:ascii="Times New Roman" w:hAnsi="Times New Roman" w:cs="Times New Roman"/>
          <w:i/>
          <w:iCs/>
          <w:sz w:val="24"/>
          <w:szCs w:val="24"/>
        </w:rPr>
      </w:pPr>
      <w:r w:rsidRPr="00AD484C">
        <w:rPr>
          <w:rFonts w:ascii="Times New Roman" w:hAnsi="Times New Roman" w:cs="Times New Roman"/>
          <w:sz w:val="24"/>
          <w:szCs w:val="24"/>
        </w:rPr>
        <w:t>Tujuan dari mekanisme tersebut adalah untuk mempengaruhi sasaran moneter melalui pasar uang dan jalur transmisi moneter terhadap suku bunga kredit, harga aset, ekspektasi, dan faktorfaktor lainnya. (Ramadhani et al., 2024). Sedangkan menurut (Setiawan, 2018)Tujuan yang ingin dicapai secara umum adalah terciptanya stabilitas ekonomi makro yang antara lain dicerminkan oleh stabilitas harga (terjaganya laju inflasi), membaiknya pendapatan per kapita, serta tersedianya kesempatan kerja yang luas.</w:t>
      </w:r>
      <w:r w:rsidR="008A27B1" w:rsidRPr="00AD484C">
        <w:rPr>
          <w:rFonts w:ascii="Times New Roman" w:hAnsi="Times New Roman" w:cs="Times New Roman"/>
          <w:sz w:val="24"/>
          <w:szCs w:val="24"/>
        </w:rPr>
        <w:t xml:space="preserve"> </w:t>
      </w:r>
      <w:r w:rsidRPr="00AD484C">
        <w:rPr>
          <w:rFonts w:ascii="Times New Roman" w:hAnsi="Times New Roman" w:cs="Times New Roman"/>
          <w:sz w:val="24"/>
          <w:szCs w:val="24"/>
        </w:rPr>
        <w:t>Nurhasanah &amp; Nugroho (2024) memberikan contoh kebijakan moneter, seperti:</w:t>
      </w:r>
    </w:p>
    <w:p w14:paraId="0A8FAF9E" w14:textId="77777777" w:rsidR="00947C92" w:rsidRPr="00AD484C" w:rsidRDefault="0059735F" w:rsidP="00947C92">
      <w:pPr>
        <w:pStyle w:val="ListParagraph"/>
        <w:numPr>
          <w:ilvl w:val="0"/>
          <w:numId w:val="20"/>
        </w:numPr>
        <w:spacing w:line="240" w:lineRule="auto"/>
        <w:ind w:left="-142" w:hanging="283"/>
        <w:jc w:val="both"/>
        <w:rPr>
          <w:rFonts w:ascii="Times New Roman" w:hAnsi="Times New Roman" w:cs="Times New Roman"/>
          <w:sz w:val="24"/>
          <w:szCs w:val="24"/>
        </w:rPr>
      </w:pPr>
      <w:r w:rsidRPr="00AD484C">
        <w:rPr>
          <w:rFonts w:ascii="Times New Roman" w:hAnsi="Times New Roman" w:cs="Times New Roman"/>
          <w:sz w:val="24"/>
          <w:szCs w:val="24"/>
        </w:rPr>
        <w:t xml:space="preserve">Politik Diskonto </w:t>
      </w:r>
    </w:p>
    <w:p w14:paraId="27FFF248" w14:textId="780247F6" w:rsidR="0007146E" w:rsidRPr="00AD484C" w:rsidRDefault="0059735F" w:rsidP="00947C92">
      <w:pPr>
        <w:pStyle w:val="ListParagraph"/>
        <w:spacing w:line="240" w:lineRule="auto"/>
        <w:ind w:left="-142"/>
        <w:jc w:val="both"/>
        <w:rPr>
          <w:rFonts w:ascii="Times New Roman" w:hAnsi="Times New Roman" w:cs="Times New Roman"/>
          <w:sz w:val="24"/>
          <w:szCs w:val="24"/>
        </w:rPr>
      </w:pPr>
      <w:r w:rsidRPr="00AD484C">
        <w:rPr>
          <w:rFonts w:ascii="Times New Roman" w:hAnsi="Times New Roman" w:cs="Times New Roman"/>
          <w:sz w:val="24"/>
          <w:szCs w:val="24"/>
        </w:rPr>
        <w:t>Dalam upaya mengendalikan laju inflasi dan mempertahankan stabilitas ekonomi, bank sentral memiliki wewenang untuk melakukan penyesuaian suku bunga diskonto, yaitu suku bunga yang dikenakan kepada lembaga keuangan ketika meminjam dana dari bank sentral. Ketika bank sentral memutuskan untuk meningkatkan suku bunga diskonto, hal ini secara teoritis cenderung mengurangi likuiditassdi pasar karena lembaga keuangan akan mengurangi pinjamannya dari bank sentral mengingat biaya yang lebih tinggi, yang pada gilirannya dapat menahan pertumbuhan ekonomi. Sebaliknya, penurunan suku bunga diskonto bertujuan untuk mendorong lembaga keuangan meminjam lebih banyak dana dari bank sentral, sehingga meningkatkan jumlah uang yang beredar dan dapat menstimulasiiaktivitas ekonomi.</w:t>
      </w:r>
    </w:p>
    <w:p w14:paraId="2FA05912" w14:textId="77777777" w:rsidR="00947C92" w:rsidRPr="00AD484C" w:rsidRDefault="0059735F" w:rsidP="00947C92">
      <w:pPr>
        <w:pStyle w:val="ListParagraph"/>
        <w:numPr>
          <w:ilvl w:val="0"/>
          <w:numId w:val="20"/>
        </w:numPr>
        <w:spacing w:line="240" w:lineRule="auto"/>
        <w:ind w:left="-142" w:hanging="283"/>
        <w:jc w:val="both"/>
        <w:rPr>
          <w:rFonts w:ascii="Times New Roman" w:hAnsi="Times New Roman" w:cs="Times New Roman"/>
          <w:sz w:val="24"/>
          <w:szCs w:val="24"/>
        </w:rPr>
      </w:pPr>
      <w:r w:rsidRPr="00AD484C">
        <w:rPr>
          <w:rFonts w:ascii="Times New Roman" w:hAnsi="Times New Roman" w:cs="Times New Roman"/>
          <w:sz w:val="24"/>
          <w:szCs w:val="24"/>
        </w:rPr>
        <w:t xml:space="preserve">Politik Pasar Terbuka </w:t>
      </w:r>
    </w:p>
    <w:p w14:paraId="356D4D76" w14:textId="77777777" w:rsidR="00947C92" w:rsidRPr="00AD484C" w:rsidRDefault="0059735F" w:rsidP="00947C92">
      <w:pPr>
        <w:pStyle w:val="ListParagraph"/>
        <w:spacing w:line="240" w:lineRule="auto"/>
        <w:ind w:left="-142"/>
        <w:jc w:val="both"/>
        <w:rPr>
          <w:rFonts w:ascii="Times New Roman" w:hAnsi="Times New Roman" w:cs="Times New Roman"/>
          <w:sz w:val="24"/>
          <w:szCs w:val="24"/>
        </w:rPr>
      </w:pPr>
      <w:r w:rsidRPr="00AD484C">
        <w:rPr>
          <w:rFonts w:ascii="Times New Roman" w:hAnsi="Times New Roman" w:cs="Times New Roman"/>
          <w:sz w:val="24"/>
          <w:szCs w:val="24"/>
        </w:rPr>
        <w:t>Kebijakan ini menurut (Purba et al., 2022) merupakan salahssatu instrumen yang strategis, di mana bank sentral berkecimpung langsung dalam pasar keuangan melalui aktivitas jual beli surat berharga. Proses ini dilakukan untuk mempengaruhi suplai uang yang beredar di masyarakat serta level suku bunga di perekonomian. Ketika bank sentral membeli surat berharga dari pasar, hal tersebut menciptakan uang baru yang memasuki sistem perbankan, meningkatkan jumlah likuiditas, dan cenderung menurunkan suku bunga. Sebaliknya, penjualan surat berharga oleh bank sentral bertujuan untuk menyerap uang dari sistem perbankan, mengurangi likuiditas, dan cenderung meningkatkan suku bunga. Kebijakan ini dimaksudkan untuk mengendalikan inflasi dan mempengaruhi pertumbuhan ekonomi.</w:t>
      </w:r>
      <w:r w:rsidRPr="00AD484C">
        <w:rPr>
          <w:rFonts w:ascii="Times New Roman" w:hAnsi="Times New Roman" w:cs="Times New Roman"/>
          <w:sz w:val="24"/>
          <w:szCs w:val="24"/>
        </w:rPr>
        <w:fldChar w:fldCharType="begin" w:fldLock="1"/>
      </w:r>
      <w:r w:rsidR="00FC2D83" w:rsidRPr="00AD484C">
        <w:rPr>
          <w:rFonts w:ascii="Times New Roman" w:hAnsi="Times New Roman" w:cs="Times New Roman"/>
          <w:sz w:val="24"/>
          <w:szCs w:val="24"/>
        </w:rPr>
        <w:instrText>ADDIN CSL_CITATION {"citationItems":[{"id":"ITEM-1","itemData":{"author":[{"dropping-particle":"","family":"Makassar","given":"Universitas Fajar","non-dropping-particle":"","parse-names":false,"suffix":""},{"dropping-particle":"","family":"Latif","given":"Abdul","non-dropping-particle":"","parse-names":false,"suffix":""},{"dropping-particle":"","family":"Wonggole","given":"Dania U","non-dropping-particle":"","parse-names":false,"suffix":""},{"dropping-particle":"","family":"Palete","given":"Siprianus","non-dropping-particle":"","parse-names":false,"suffix":""},{"dropping-particle":"","family":"Makassar","given":"Universitas Fajar","non-dropping-particle":"","parse-names":false,"suffix":""}],"id":"ITEM-1","issue":"April","issued":{"date-parts":[["2024"]]},"page":"14-27","title":"Keywords :","type":"article-journal","volume":"5"},"uris":["http://www.mendeley.com/documents/?uuid=d2c37aac-9a2c-4970-8a7a-8d5a4b1cf7e6"]}],"mendeley":{"formattedCitation":"(Makassar et al., 2024)","plainTextFormattedCitation":"(Makassar et al., 2024)","previouslyFormattedCitation":"(Makassar et al., 2024)"},"properties":{"noteIndex":0},"schema":"https://github.com/citation-style-language/schema/raw/master/csl-citation.json"}</w:instrText>
      </w:r>
      <w:r w:rsidRPr="00AD484C">
        <w:rPr>
          <w:rFonts w:ascii="Times New Roman" w:hAnsi="Times New Roman" w:cs="Times New Roman"/>
          <w:sz w:val="24"/>
          <w:szCs w:val="24"/>
        </w:rPr>
        <w:fldChar w:fldCharType="separate"/>
      </w:r>
      <w:r w:rsidRPr="00AD484C">
        <w:rPr>
          <w:rFonts w:ascii="Times New Roman" w:hAnsi="Times New Roman" w:cs="Times New Roman"/>
          <w:noProof/>
          <w:sz w:val="24"/>
          <w:szCs w:val="24"/>
        </w:rPr>
        <w:t>(Makassar et al., 2024)</w:t>
      </w:r>
      <w:r w:rsidRPr="00AD484C">
        <w:rPr>
          <w:rFonts w:ascii="Times New Roman" w:hAnsi="Times New Roman" w:cs="Times New Roman"/>
          <w:sz w:val="24"/>
          <w:szCs w:val="24"/>
        </w:rPr>
        <w:fldChar w:fldCharType="end"/>
      </w:r>
    </w:p>
    <w:p w14:paraId="2769497D" w14:textId="5E26ACE3" w:rsidR="007364FC" w:rsidRPr="006405E0" w:rsidRDefault="008953B2" w:rsidP="006405E0">
      <w:pPr>
        <w:pStyle w:val="ListParagraph"/>
        <w:spacing w:line="240" w:lineRule="auto"/>
        <w:ind w:left="-142"/>
        <w:jc w:val="both"/>
        <w:rPr>
          <w:rFonts w:ascii="Times New Roman" w:hAnsi="Times New Roman" w:cs="Times New Roman"/>
          <w:sz w:val="24"/>
          <w:szCs w:val="24"/>
        </w:rPr>
      </w:pPr>
      <w:r w:rsidRPr="00AD484C">
        <w:rPr>
          <w:rFonts w:ascii="Times New Roman" w:hAnsi="Times New Roman" w:cs="Times New Roman"/>
          <w:sz w:val="24"/>
          <w:szCs w:val="24"/>
        </w:rPr>
        <w:t>Secara garis besar, keuangan syariah di Indonesia terbagi atas perbankan syariah, pasar modal syariah dan indutri keuangan non-Bank syariah. Beberapa lembaga keuangan syariah seperti asuransi syariah, pegadaian syariah, koperasi syariah serta badan amil zakat dan waqaf dimasukkan dalam industri keuangan nonBank syariah. Regulasi-regulasi yang terkait dengan ketiga sektor tersebut dijabarkan di bawah ini.</w:t>
      </w:r>
    </w:p>
    <w:p w14:paraId="12D41757" w14:textId="77777777" w:rsidR="00A41B52" w:rsidRPr="00AD484C" w:rsidRDefault="00A41B52" w:rsidP="009930F2">
      <w:pPr>
        <w:pStyle w:val="ListParagraph"/>
        <w:spacing w:line="240" w:lineRule="auto"/>
        <w:ind w:left="709"/>
        <w:jc w:val="both"/>
        <w:rPr>
          <w:rFonts w:ascii="Times New Roman" w:hAnsi="Times New Roman" w:cs="Times New Roman"/>
          <w:sz w:val="24"/>
          <w:szCs w:val="24"/>
        </w:rPr>
      </w:pPr>
    </w:p>
    <w:p w14:paraId="5309C394" w14:textId="77777777" w:rsidR="00947C92" w:rsidRPr="00AD484C" w:rsidRDefault="008953B2" w:rsidP="00947C92">
      <w:pPr>
        <w:pStyle w:val="ListParagraph"/>
        <w:numPr>
          <w:ilvl w:val="0"/>
          <w:numId w:val="25"/>
        </w:numPr>
        <w:spacing w:line="240" w:lineRule="auto"/>
        <w:ind w:left="142" w:hanging="284"/>
        <w:jc w:val="both"/>
        <w:rPr>
          <w:rFonts w:ascii="Times New Roman" w:hAnsi="Times New Roman" w:cs="Times New Roman"/>
          <w:sz w:val="24"/>
          <w:szCs w:val="24"/>
        </w:rPr>
      </w:pPr>
      <w:r w:rsidRPr="00AD484C">
        <w:rPr>
          <w:rFonts w:ascii="Times New Roman" w:hAnsi="Times New Roman" w:cs="Times New Roman"/>
          <w:sz w:val="24"/>
          <w:szCs w:val="24"/>
        </w:rPr>
        <w:t>Regulasi Perbankan Syariah</w:t>
      </w:r>
    </w:p>
    <w:p w14:paraId="05A78C07" w14:textId="65D26216" w:rsidR="005A7E2D" w:rsidRPr="00AD484C" w:rsidRDefault="008953B2" w:rsidP="00947C92">
      <w:pPr>
        <w:pStyle w:val="ListParagraph"/>
        <w:spacing w:line="240" w:lineRule="auto"/>
        <w:ind w:left="142"/>
        <w:jc w:val="both"/>
        <w:rPr>
          <w:rFonts w:ascii="Times New Roman" w:hAnsi="Times New Roman" w:cs="Times New Roman"/>
          <w:sz w:val="24"/>
          <w:szCs w:val="24"/>
        </w:rPr>
      </w:pPr>
      <w:r w:rsidRPr="00AD484C">
        <w:rPr>
          <w:rFonts w:ascii="Times New Roman" w:hAnsi="Times New Roman" w:cs="Times New Roman"/>
          <w:sz w:val="24"/>
          <w:szCs w:val="24"/>
        </w:rPr>
        <w:t>Dasar hukum berlakunya bank syariah di Indonesia terdapat pada:</w:t>
      </w:r>
    </w:p>
    <w:p w14:paraId="23FB82D8" w14:textId="77777777" w:rsidR="005A7E2D" w:rsidRPr="00AD484C" w:rsidRDefault="008953B2" w:rsidP="009930F2">
      <w:pPr>
        <w:pStyle w:val="ListParagraph"/>
        <w:numPr>
          <w:ilvl w:val="0"/>
          <w:numId w:val="22"/>
        </w:numPr>
        <w:spacing w:line="240" w:lineRule="auto"/>
        <w:ind w:left="851"/>
        <w:jc w:val="both"/>
        <w:rPr>
          <w:rFonts w:ascii="Times New Roman" w:hAnsi="Times New Roman" w:cs="Times New Roman"/>
          <w:sz w:val="24"/>
          <w:szCs w:val="24"/>
        </w:rPr>
      </w:pPr>
      <w:r w:rsidRPr="00AD484C">
        <w:rPr>
          <w:rFonts w:ascii="Times New Roman" w:hAnsi="Times New Roman" w:cs="Times New Roman"/>
          <w:sz w:val="24"/>
          <w:szCs w:val="24"/>
        </w:rPr>
        <w:t xml:space="preserve">Undang-undang Nomor 7 Tahun 1992 Tentang Perbankan </w:t>
      </w:r>
    </w:p>
    <w:p w14:paraId="78AC13D5" w14:textId="77777777" w:rsidR="005A7E2D" w:rsidRPr="00AD484C" w:rsidRDefault="008953B2" w:rsidP="009930F2">
      <w:pPr>
        <w:pStyle w:val="ListParagraph"/>
        <w:numPr>
          <w:ilvl w:val="0"/>
          <w:numId w:val="22"/>
        </w:numPr>
        <w:spacing w:line="240" w:lineRule="auto"/>
        <w:ind w:left="851"/>
        <w:jc w:val="both"/>
        <w:rPr>
          <w:rFonts w:ascii="Times New Roman" w:hAnsi="Times New Roman" w:cs="Times New Roman"/>
          <w:sz w:val="24"/>
          <w:szCs w:val="24"/>
        </w:rPr>
      </w:pPr>
      <w:r w:rsidRPr="00AD484C">
        <w:rPr>
          <w:rFonts w:ascii="Times New Roman" w:hAnsi="Times New Roman" w:cs="Times New Roman"/>
          <w:sz w:val="24"/>
          <w:szCs w:val="24"/>
        </w:rPr>
        <w:t>Undang-undang Nomor 10 Tahun 1998 Tentang Perbankan</w:t>
      </w:r>
    </w:p>
    <w:p w14:paraId="6EDE56B0" w14:textId="77777777" w:rsidR="005A7E2D" w:rsidRPr="00AD484C" w:rsidRDefault="008953B2" w:rsidP="009930F2">
      <w:pPr>
        <w:pStyle w:val="ListParagraph"/>
        <w:numPr>
          <w:ilvl w:val="0"/>
          <w:numId w:val="22"/>
        </w:numPr>
        <w:spacing w:line="240" w:lineRule="auto"/>
        <w:ind w:left="851"/>
        <w:jc w:val="both"/>
        <w:rPr>
          <w:rFonts w:ascii="Times New Roman" w:hAnsi="Times New Roman" w:cs="Times New Roman"/>
          <w:sz w:val="24"/>
          <w:szCs w:val="24"/>
        </w:rPr>
      </w:pPr>
      <w:r w:rsidRPr="00AD484C">
        <w:rPr>
          <w:rFonts w:ascii="Times New Roman" w:hAnsi="Times New Roman" w:cs="Times New Roman"/>
          <w:sz w:val="24"/>
          <w:szCs w:val="24"/>
        </w:rPr>
        <w:t xml:space="preserve">Undang-undang Nomor 21 Tahun 2008 Tentang Perbankan Syariah </w:t>
      </w:r>
    </w:p>
    <w:p w14:paraId="6A440AF2" w14:textId="67E24783" w:rsidR="0007146E" w:rsidRPr="00AD484C" w:rsidRDefault="008953B2" w:rsidP="009930F2">
      <w:pPr>
        <w:pStyle w:val="ListParagraph"/>
        <w:numPr>
          <w:ilvl w:val="0"/>
          <w:numId w:val="22"/>
        </w:numPr>
        <w:spacing w:line="240" w:lineRule="auto"/>
        <w:ind w:left="851"/>
        <w:jc w:val="both"/>
        <w:rPr>
          <w:rFonts w:ascii="Times New Roman" w:hAnsi="Times New Roman" w:cs="Times New Roman"/>
          <w:sz w:val="24"/>
          <w:szCs w:val="24"/>
        </w:rPr>
      </w:pPr>
      <w:r w:rsidRPr="00AD484C">
        <w:rPr>
          <w:rFonts w:ascii="Times New Roman" w:hAnsi="Times New Roman" w:cs="Times New Roman"/>
          <w:sz w:val="24"/>
          <w:szCs w:val="24"/>
        </w:rPr>
        <w:t>Undang-undang Nomor 6 Tahun 2009 Tentang Perubahan Kedua Atas Undang-undang Nomor 3 Tahun 2004 Tentang Perubahan Atas Undang-undang Republik Indonesia Nomor 23 Tahun 1999 Tentang Bank Indonesia.</w:t>
      </w:r>
    </w:p>
    <w:p w14:paraId="4058725D" w14:textId="77777777" w:rsidR="005A7E2D" w:rsidRPr="00AD484C" w:rsidRDefault="008953B2" w:rsidP="003228F0">
      <w:pPr>
        <w:spacing w:line="240" w:lineRule="auto"/>
        <w:ind w:left="-90"/>
        <w:jc w:val="both"/>
        <w:rPr>
          <w:rFonts w:ascii="Times New Roman" w:hAnsi="Times New Roman" w:cs="Times New Roman"/>
          <w:sz w:val="24"/>
          <w:szCs w:val="24"/>
        </w:rPr>
      </w:pPr>
      <w:r w:rsidRPr="00AD484C">
        <w:rPr>
          <w:rFonts w:ascii="Times New Roman" w:hAnsi="Times New Roman" w:cs="Times New Roman"/>
          <w:sz w:val="24"/>
          <w:szCs w:val="24"/>
        </w:rPr>
        <w:t>Sedangkan peraturan pelaksana perbankan syariah cukup banyak, sekitar 117 peraturan yang terdiri dari Peraturan Bank Indonesia (PBI), Surat Edaran Bank Indonesia (SEBI), Peraturan Otoritas Jasa Keuangan (POJK) dan Surat Edaran Otoritas Jasa Keuangan (SEOJK). Berbagai peraturan tersebut dikeluarkan sejak tahun 2004 hingga 2017. Hal ini mengindikasikan bahwa terdapat progres yang cukup tinggi pada regulasi perbankan syariah di Indonesia, ditunjukkan dengan masifnya regulasi pada perbankan syariah tersebut.</w:t>
      </w:r>
    </w:p>
    <w:p w14:paraId="48F44C11" w14:textId="77777777" w:rsidR="00947C92" w:rsidRPr="00AD484C" w:rsidRDefault="008953B2" w:rsidP="00947C92">
      <w:pPr>
        <w:pStyle w:val="ListParagraph"/>
        <w:numPr>
          <w:ilvl w:val="0"/>
          <w:numId w:val="25"/>
        </w:numPr>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lastRenderedPageBreak/>
        <w:t>Regulasi Pasar Modal Syariah</w:t>
      </w:r>
    </w:p>
    <w:p w14:paraId="6C35023F" w14:textId="77777777" w:rsidR="00947C92" w:rsidRPr="00AD484C" w:rsidRDefault="008953B2"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Peraturan dan perundangan yang terkait dengan pasar modal syariah meliputi peraturan dan perundangan yang berlaku umum terhadap aktifitas pasar modal dan ditambah dengan peraturan yang berkait langsung dengan persoalan syariah. Undang-undang dan peraturan-peraturan secara umum meliputi perundangan, peraturan pemerintah, peraturan menteri, keputusan menteri hingga peraturan OJK dan surat edaran OJK. Peraturan-peraturan pasar modal yang sifatnya umum tersebut berjumlah 66 peraturan yang dikeluarkan sejak tahun 1995 hingga tahun 2017.</w:t>
      </w:r>
    </w:p>
    <w:p w14:paraId="5B1F26A8" w14:textId="77777777" w:rsidR="00947C92" w:rsidRPr="00AD484C" w:rsidRDefault="008953B2" w:rsidP="00947C92">
      <w:pPr>
        <w:pStyle w:val="ListParagraph"/>
        <w:numPr>
          <w:ilvl w:val="0"/>
          <w:numId w:val="25"/>
        </w:numPr>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 xml:space="preserve">Regulasi Industri Keuangan Non Bank Syariah </w:t>
      </w:r>
    </w:p>
    <w:p w14:paraId="78170BA6" w14:textId="77777777" w:rsidR="00947C92" w:rsidRPr="00AD484C" w:rsidRDefault="008953B2"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Industri keuangan non-Bank syariah meliputi asuransi syariah, lembaga keuangan mikro syariah, lembaga pembiayaan syariah dan lembaga jasa keuangan khusus syariah. Peraturanperaturan yang berhubungan dengan lembaga industri keuangan non-Bank syariah tersebut diantaranya sebagai berikut;</w:t>
      </w:r>
    </w:p>
    <w:p w14:paraId="2FE7C52C" w14:textId="77777777" w:rsidR="00947C92" w:rsidRPr="00AD484C" w:rsidRDefault="008953B2"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Regulasi pada asuransi syariah secara umum didasarkan pada undang-undang perasuransian, yaitu Undang-undang Nomor 2 Tahun 1992 tentang Usaha Perasuransian dan diperbaharui dengan Undang-undang Nomor 40 Tahun 2014 Tentang Perasuransian. Sedangkan berbagai regulasi operasional dari asuransi syariah berjumlah 13 (tiga belas) peraturan yang dikeluarkan mulai tahun 2010 hingga 2017. Beberapa peraturan yang mendesak untuk segera diterbitkan misalnya berkaitan dengan penyesuaian modal minimum berbasis resiko pada asuransi syariah dan persoalan reasuransi syariah.</w:t>
      </w:r>
    </w:p>
    <w:p w14:paraId="76F27503" w14:textId="77777777" w:rsidR="00947C92" w:rsidRPr="00AD484C" w:rsidRDefault="008953B2"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Selanjutnya pada lembaga pembiayaan syariah, pemerintah mengeluarkan sebanyak 5 (lima) peraturan mulai tahun 2009 hingga 2017 dalam bentuk peraturan presiden, peraturan ketua BAPEPPAM, keputusan ketua BAPEPPAM, hingga surat edaran dari OJK. Sementara itu pada sektor koperasi syariah juga dikeluarkan peraturan sebanyak 5 (lima) peraturan mulai tahun 2004 sampai 2017 dalam bentuk keputusan menteri dan peraturan menteri.</w:t>
      </w:r>
    </w:p>
    <w:p w14:paraId="2350D75C" w14:textId="77777777" w:rsidR="00947C92" w:rsidRPr="00AD484C" w:rsidRDefault="008953B2"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Di samping perundangan dan peraturan-peraturan tersebut, Lembaga Keuangan Syariah juga wajib mengikuti semua fatwa Dewan Syariah Nasional (DSN), yakni satu-satunya dewan yang mempunyai kewenangan mengeluarkan fatwa atas jenis-jenis kegiatan, produk dan jasa keuangan syariah, serta mengawasi penerapan fatwa dimaksud oleh lembaga-lembaga keuangan syariah di Indonesia. Sampai saat ini (2017) DSN telah memfatwakan sebanyak 109 fatwa, melingkupi fatwa mengenai produk perbankan syariah, lembaga keuangan non-Bank seperti asuransi, pasar modal, gadai serta berbagai fatwa penunjang transaksi dan akad lembaga keuangan syariah Fatwa-fatwa terbaru yang cukup mendesak untuk dipahami oleh masyarakat misalnya fatwa seputar rumah sakit dan pariwisata berprinsip syariah serta pembiayaan likuiditas jangka pendek syariah.</w:t>
      </w:r>
    </w:p>
    <w:p w14:paraId="783706E4" w14:textId="440C34C2" w:rsidR="005A7E2D" w:rsidRDefault="008953B2"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 xml:space="preserve">Kebijakan Pengembangan Keuangan Syariah di </w:t>
      </w:r>
      <w:r w:rsidR="00577837" w:rsidRPr="00AD484C">
        <w:rPr>
          <w:rFonts w:ascii="Times New Roman" w:hAnsi="Times New Roman" w:cs="Times New Roman"/>
          <w:sz w:val="24"/>
          <w:szCs w:val="24"/>
        </w:rPr>
        <w:t xml:space="preserve">Indonesia </w:t>
      </w:r>
      <w:r w:rsidRPr="00AD484C">
        <w:rPr>
          <w:rFonts w:ascii="Times New Roman" w:hAnsi="Times New Roman" w:cs="Times New Roman"/>
          <w:sz w:val="24"/>
          <w:szCs w:val="24"/>
        </w:rPr>
        <w:t>Pengembangan keuangan syariah di Indonesia dilakukan dengan berbagai cara mulai dari upaya sosialisasi secara masif, pendidikan dan pelatihan hingga penyempurnaan regulasi yang mampu menunjang optimalisasi operasional keuangan syariah di Indonesia. Kebijakan pengembangan keuangan syariah yang tampak menonjol terlihat pada pengembangan kebijakan pada perbankan syrariah, pasar modal syariah dan pada industri keuangan nonBank syariah.</w:t>
      </w:r>
    </w:p>
    <w:p w14:paraId="3E608904" w14:textId="77777777" w:rsidR="006405E0" w:rsidRPr="00AD484C" w:rsidRDefault="006405E0" w:rsidP="00947C92">
      <w:pPr>
        <w:pStyle w:val="ListParagraph"/>
        <w:spacing w:line="240" w:lineRule="auto"/>
        <w:ind w:left="284"/>
        <w:jc w:val="both"/>
        <w:rPr>
          <w:rFonts w:ascii="Times New Roman" w:hAnsi="Times New Roman" w:cs="Times New Roman"/>
          <w:sz w:val="24"/>
          <w:szCs w:val="24"/>
        </w:rPr>
      </w:pPr>
    </w:p>
    <w:p w14:paraId="65CC00D7" w14:textId="77777777" w:rsidR="00947C92" w:rsidRPr="00AD484C" w:rsidRDefault="00FC2D83" w:rsidP="00947C92">
      <w:pPr>
        <w:pStyle w:val="ListParagraph"/>
        <w:numPr>
          <w:ilvl w:val="0"/>
          <w:numId w:val="25"/>
        </w:numPr>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 xml:space="preserve">Kebijakan Pengembangan Perbankan Syariah </w:t>
      </w:r>
    </w:p>
    <w:p w14:paraId="208104B2" w14:textId="1C32D96E" w:rsidR="0007146E" w:rsidRPr="00AD484C" w:rsidRDefault="00FC2D83" w:rsidP="00947C92">
      <w:pPr>
        <w:pStyle w:val="ListParagraph"/>
        <w:spacing w:line="240" w:lineRule="auto"/>
        <w:ind w:left="284"/>
        <w:jc w:val="both"/>
        <w:rPr>
          <w:rFonts w:ascii="Times New Roman" w:hAnsi="Times New Roman" w:cs="Times New Roman"/>
          <w:sz w:val="24"/>
          <w:szCs w:val="24"/>
        </w:rPr>
      </w:pPr>
      <w:r w:rsidRPr="00AD484C">
        <w:rPr>
          <w:rFonts w:ascii="Times New Roman" w:hAnsi="Times New Roman" w:cs="Times New Roman"/>
          <w:sz w:val="24"/>
          <w:szCs w:val="24"/>
        </w:rPr>
        <w:t>Otoritas Jasa Keuangan (OJK) menyusun rencana strategis baru untuk perkembangan industri perbankan syariah nasional yang dinamakan Roadmap Perbankan Syariah Indonesia 2015-2019. Program kerja dari roadmap tersebut pelaksanaannya terdiri dari tujuh arah kebijakan, yaitu</w:t>
      </w:r>
      <w:r w:rsidR="00CC6F83" w:rsidRPr="00AD484C">
        <w:rPr>
          <w:rFonts w:ascii="Times New Roman" w:hAnsi="Times New Roman" w:cs="Times New Roman"/>
          <w:sz w:val="24"/>
          <w:szCs w:val="24"/>
        </w:rPr>
        <w:t>:</w:t>
      </w:r>
    </w:p>
    <w:p w14:paraId="3C92A81C" w14:textId="77777777" w:rsidR="00947C92"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t>Memperkuat sinergi kebijakan antara otoritas dengan</w:t>
      </w:r>
      <w:r w:rsidR="00577837" w:rsidRPr="00AD484C">
        <w:rPr>
          <w:rFonts w:ascii="Times New Roman" w:hAnsi="Times New Roman" w:cs="Times New Roman"/>
          <w:sz w:val="24"/>
          <w:szCs w:val="24"/>
        </w:rPr>
        <w:t xml:space="preserve"> </w:t>
      </w:r>
      <w:r w:rsidRPr="00AD484C">
        <w:rPr>
          <w:rFonts w:ascii="Times New Roman" w:hAnsi="Times New Roman" w:cs="Times New Roman"/>
          <w:sz w:val="24"/>
          <w:szCs w:val="24"/>
        </w:rPr>
        <w:t>pemerintah dan stakeholder lainnya, dengan program kerjanya antara lain mendorong pembentukan Komite Nasional Pengembangan Keuangan Syariah dan mendorong pembentukan pusat riset dan pengembangan perbankan dan keuangan syariah.</w:t>
      </w:r>
    </w:p>
    <w:p w14:paraId="2E70B58C" w14:textId="77777777" w:rsidR="00947C92"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lastRenderedPageBreak/>
        <w:t>Memperkuat permodalan dan skala usaha serta memperbaiki efisiensi, dengan program kerjanya antara lain: (i) penyempurnaan kebijakan modal inti minimum dan klasifikasi buku Bank Umum Syariah dan (ii) mendorong pembentukan bank BUMN/BUMD syariah serta (iii) optimalisasi peran dan peningkatan komitmen BUK untuk mengembangkan layanan perbankan syariah hingga mencapai share minimal di atas 10% aset BUK induk.</w:t>
      </w:r>
    </w:p>
    <w:p w14:paraId="41BEEFCD" w14:textId="77777777" w:rsidR="00947C92"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t xml:space="preserve">Memperbaiki struktur dana untuk mendukung perluasan segmen pembiayaan, dengan program kerjanya antara lain optimalisasi pengelolaan dana haji, wakaf/zakat/infaq sedekah melalui perbankan syariah, mendorong keterlibatan bank syariah dalam pengelolaan dana pemerintah pusat/daerah dan dana BUMN/BUMD, serta mendorong penempatan dana hasil emisi sukuk pada bank syariah. </w:t>
      </w:r>
    </w:p>
    <w:p w14:paraId="2FE62893" w14:textId="77777777" w:rsidR="00947C92"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t>Memperbaiki kualitas layanan dan keragaman produk, dengan program kerjanya antara lain: (i) peningkatan peran Working Group Perbankan Syariah dalam pengembangan produk perbankan syariah, (ii) penyempurnaan ketentuan produk dan aktivitas baru dan (iii) kegiatan peningkatan service excellence dan kustomisasi produk sesuai perkembangan preferensi konsumen.</w:t>
      </w:r>
    </w:p>
    <w:p w14:paraId="5F628F22" w14:textId="77777777" w:rsidR="00947C92"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t xml:space="preserve">Memperbaiki kuantitas dan kualitas SDM &amp; TI serta infrastruktur lainnya, dengan program kerjanya antara lain sebagai berikut: (i) pengembangan standar kurikulum perbankan syariah di perguruan tinggi, (ii) pemetaan kompetensi dan kajian standar kompetensi bank syariah serta review kebijakan alokasi anggaran pengembangan SDM bank, (iii) evaluasi kebijakan/ketentuan terkait penggunaan fasilitas IT secara bersama (sharing IT) antara induk dan anak perusahaan dan (iv) kebijakan dalam rangka pengembangan inter-operability khususnya antara induk dan anak usaha syariah dan/atau dalam satu grup. </w:t>
      </w:r>
    </w:p>
    <w:p w14:paraId="5CA65229" w14:textId="77777777" w:rsidR="00947C92"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t>Meningkatkan literasi dan preferensi masyarakat, dengan program kerjanya antara lain penyelenggaraan Pasar Rakyat Syariah dan memperkuat kolaborasi dengan kompartemen Edukasi dan Perlindungan Konsumen serta pemangku kepentingan utama dalam peningkatan literasi keuangan syariah, maupun melakukan program sosialisasi perbankan syariah bagi key opinion leaders.</w:t>
      </w:r>
    </w:p>
    <w:p w14:paraId="20C2674C" w14:textId="0ACFB02D" w:rsidR="005A7E2D" w:rsidRPr="00AD484C" w:rsidRDefault="00FC2D83" w:rsidP="00947C92">
      <w:pPr>
        <w:pStyle w:val="ListParagraph"/>
        <w:numPr>
          <w:ilvl w:val="0"/>
          <w:numId w:val="15"/>
        </w:numPr>
        <w:spacing w:line="240" w:lineRule="auto"/>
        <w:ind w:left="567" w:hanging="283"/>
        <w:jc w:val="both"/>
        <w:rPr>
          <w:rFonts w:ascii="Times New Roman" w:hAnsi="Times New Roman" w:cs="Times New Roman"/>
          <w:sz w:val="24"/>
          <w:szCs w:val="24"/>
        </w:rPr>
      </w:pPr>
      <w:r w:rsidRPr="00AD484C">
        <w:rPr>
          <w:rFonts w:ascii="Times New Roman" w:hAnsi="Times New Roman" w:cs="Times New Roman"/>
          <w:sz w:val="24"/>
          <w:szCs w:val="24"/>
        </w:rPr>
        <w:t>Memperkuat serta harmonisasi pengaturan dan pengawasan, dengan program kerjanya antara lain sebagai berikut: (i) penyempurnaan kebijakan terkait financing to value (FTV), (ii) pengembangan dan penyempurnaan standar produk (termasuk dokumentasi) bank syariah sesuai karakteristik usaha, (iii) pengembangan aplikasi Early Warning System (EWS) BUS dan UUS dan (iv) penyempurnaan peraturan terkait kelembagaan BUS/UUS beserta panduan pengawasan &amp; perizinannya.</w:t>
      </w:r>
    </w:p>
    <w:p w14:paraId="77AF60D4" w14:textId="77777777" w:rsidR="007364FC" w:rsidRPr="00AD484C" w:rsidRDefault="007364FC" w:rsidP="007364FC">
      <w:pPr>
        <w:pStyle w:val="ListParagraph"/>
        <w:spacing w:line="240" w:lineRule="auto"/>
        <w:ind w:left="567"/>
        <w:jc w:val="both"/>
        <w:rPr>
          <w:rFonts w:ascii="Times New Roman" w:hAnsi="Times New Roman" w:cs="Times New Roman"/>
          <w:sz w:val="24"/>
          <w:szCs w:val="24"/>
        </w:rPr>
      </w:pPr>
    </w:p>
    <w:p w14:paraId="0097E824" w14:textId="77777777" w:rsidR="005A7E2D" w:rsidRPr="00AD484C" w:rsidRDefault="00FC2D83" w:rsidP="009930F2">
      <w:pPr>
        <w:pStyle w:val="ListParagraph"/>
        <w:numPr>
          <w:ilvl w:val="0"/>
          <w:numId w:val="25"/>
        </w:numPr>
        <w:spacing w:line="240" w:lineRule="auto"/>
        <w:ind w:left="426"/>
        <w:jc w:val="both"/>
        <w:rPr>
          <w:rFonts w:ascii="Times New Roman" w:hAnsi="Times New Roman" w:cs="Times New Roman"/>
          <w:sz w:val="24"/>
          <w:szCs w:val="24"/>
        </w:rPr>
      </w:pPr>
      <w:r w:rsidRPr="00AD484C">
        <w:rPr>
          <w:rFonts w:ascii="Times New Roman" w:hAnsi="Times New Roman" w:cs="Times New Roman"/>
          <w:sz w:val="24"/>
          <w:szCs w:val="24"/>
        </w:rPr>
        <w:t>Kebijakan Pengembangan Pasar Modal Syariah Perkembangan pasar modal syariah dilakukan dengan mengimplementasikan strategi pengembangan pasar modal syariah yang tertuang dalam Master Plan Pasar Modal dan Industri Keuangan Non-Bank 2010-20148 serta Master Plan Pasar Modal 2005-2009. Untuk mencapai sasaran yang diinginkan, arah pengembangan dijabarkan dalam program kerja dan rencana aksi, sebagai berikut:9 Arah Pertama. Penguatan pengaturan atas produk, lembaga dan profesi terkait pasar modal syariah melalui 4 (empat) program; a) Memperkuat kerangka hukum untuk penerbitan efek syariah, b) Mengupayakan insentif untuk produk syariah, c) Memperkuat peran pelaku pasar di pasar modal syariah, d) Memperkuat landasan hukum bagi transaksi efek syariah. Arah Kedua. Peningkatan supplay and demand produk pasar modal syariah melalui 4 (empat) program; a) Melakukan kajian pengembangan produk pasar modal syariah, b) Mendorong penerbitan produk pasar modal syariah, c) Memperluas basis investor pasar modal syariah, d) Mengembangkan infrastruktur penunjang pasar modal syariah.</w:t>
      </w:r>
      <w:r w:rsidRPr="00AD484C">
        <w:rPr>
          <w:rFonts w:ascii="Times New Roman" w:hAnsi="Times New Roman" w:cs="Times New Roman"/>
          <w:sz w:val="24"/>
          <w:szCs w:val="24"/>
        </w:rPr>
        <w:fldChar w:fldCharType="begin" w:fldLock="1"/>
      </w:r>
      <w:r w:rsidR="00FB0D4D" w:rsidRPr="00AD484C">
        <w:rPr>
          <w:rFonts w:ascii="Times New Roman" w:hAnsi="Times New Roman" w:cs="Times New Roman"/>
          <w:sz w:val="24"/>
          <w:szCs w:val="24"/>
        </w:rPr>
        <w:instrText>ADDIN CSL_CITATION {"citationItems":[{"id":"ITEM-1","itemData":{"DOI":"10.15642/ad.2017.7.2.419-443","ISSN":"2089-0109","abstract":"Abstract: This paper discusses about the progressive regulation of Islamic finance in Indonesia and its relation with the government's political will in shariâ€™ah financial institutions. The progress of shariâ€™ah financial regulation in Indonesia is good enough to solve various demands of operational optimization of shariâ€™ah financial institutions in Indonesia. It shows that shariâ€™ah financial regulation is massive and experiencing good progressive to answer operational problems of shariâ€™ah financial institutions. The situation is also reinforced by the massive of the fatwa of the National Shariâ€™ah Council (DSN). Various development programs of Islamic financial institutions conducted by the government through Bank Indonesia, BAPEPPAM, Financial Services Authority (OJK), and DSN show the existence of political will of the government to shariâ€™ah financial institutions. To give a certain regulation in order to optimize the operational of shariâ€™ah financial institutions, the government has massively issued various regulations. The progressiveness of shariâ€™ah financial regulations prove that the political will of the government is seen in the effort of developing syariâ€™ah financial institutions.\r Abstrak: Tulisan ini membahas tentang progresifitas regulasi keuangan syariah di Indonesia dan kaitannya dengan political will pemerintah pada lembaga keuangan syariah. Progres regulasi keuangan syariah di Indonesia cukup bagus untuk menyelesaikan berbagai tuntutan optimalisasi operasional lembaga keuangan syariah di Indonesia. Hal itu menunjukkan bahwa regulasi keuangan syariah cukup masif dan mengalami progresifitas yang baik untuk menjawab persoalan-persoalan operasional lembaga keuangan syariah. Keadaan tersebut diperkuat dengan progres fatwa Dewan Syariah nasional (DSN) yang cukup masif pula. Berbagai program pengembangan lembaga keuangan syariah yang dilakukan oleh pemerintah melalui Bank Indonesia, BAPEPPAM, Otoritas Jasa Keuangan (OJK), dan DSN menunjukkan adanya political will pemerintah terhadap lembaga keuangan syariah. Untuk menjawab kepastian regulasi demi optimalisasi operasional lembaga keuangan syariah, pemerintah secara masif mengeluarkan berbagai regulasi keuangan syariah. Progresifitas regulasi keuangan syariah menjadi bukti bahwa political will pemerintah tampak dalam upaya pengembangan lembaga keuangan syariah.","author":[{"dropping-particle":"","family":"Ulum","given":"Fahrur","non-dropping-particle":"","parse-names":false,"suffix":""}],"container-title":"Al-Daulah: Jurnal Hukum dan Perundangan Islam","id":"ITEM-1","issue":"2","issued":{"date-parts":[["2018"]]},"page":"419-443","title":"Progresifitas Regulasi Keuangan Syariah Di Indonesia","type":"article-journal","volume":"7"},"uris":["http://www.mendeley.com/documents/?uuid=b65dfe4b-adee-4313-ae8d-6a5f1cc067d5"]}],"mendeley":{"formattedCitation":"(Ulum, 2018)","plainTextFormattedCitation":"(Ulum, 2018)","previouslyFormattedCitation":"(Ulum, 2018)"},"properties":{"noteIndex":0},"schema":"https://github.com/citation-style-language/schema/raw/master/csl-citation.json"}</w:instrText>
      </w:r>
      <w:r w:rsidRPr="00AD484C">
        <w:rPr>
          <w:rFonts w:ascii="Times New Roman" w:hAnsi="Times New Roman" w:cs="Times New Roman"/>
          <w:sz w:val="24"/>
          <w:szCs w:val="24"/>
        </w:rPr>
        <w:fldChar w:fldCharType="separate"/>
      </w:r>
      <w:r w:rsidRPr="00AD484C">
        <w:rPr>
          <w:rFonts w:ascii="Times New Roman" w:hAnsi="Times New Roman" w:cs="Times New Roman"/>
          <w:noProof/>
          <w:sz w:val="24"/>
          <w:szCs w:val="24"/>
        </w:rPr>
        <w:t>(Ulum, 2018)</w:t>
      </w:r>
      <w:r w:rsidRPr="00AD484C">
        <w:rPr>
          <w:rFonts w:ascii="Times New Roman" w:hAnsi="Times New Roman" w:cs="Times New Roman"/>
          <w:sz w:val="24"/>
          <w:szCs w:val="24"/>
        </w:rPr>
        <w:fldChar w:fldCharType="end"/>
      </w:r>
    </w:p>
    <w:p w14:paraId="56B22F2C" w14:textId="77777777" w:rsidR="005A7E2D" w:rsidRPr="00AD484C" w:rsidRDefault="005A7E2D" w:rsidP="009930F2">
      <w:pPr>
        <w:pStyle w:val="ListParagraph"/>
        <w:spacing w:line="240" w:lineRule="auto"/>
        <w:ind w:left="426"/>
        <w:jc w:val="both"/>
        <w:rPr>
          <w:rFonts w:ascii="Times New Roman" w:hAnsi="Times New Roman" w:cs="Times New Roman"/>
          <w:sz w:val="24"/>
          <w:szCs w:val="24"/>
        </w:rPr>
      </w:pPr>
    </w:p>
    <w:p w14:paraId="550147B9" w14:textId="77777777" w:rsidR="007364FC" w:rsidRPr="00AD484C" w:rsidRDefault="00351EAE" w:rsidP="003228F0">
      <w:pPr>
        <w:pStyle w:val="ListParagraph"/>
        <w:spacing w:line="240" w:lineRule="auto"/>
        <w:ind w:left="-720"/>
        <w:jc w:val="both"/>
        <w:rPr>
          <w:rFonts w:ascii="Times New Roman" w:hAnsi="Times New Roman" w:cs="Times New Roman"/>
          <w:i/>
          <w:iCs/>
          <w:sz w:val="24"/>
          <w:szCs w:val="24"/>
        </w:rPr>
      </w:pPr>
      <w:r w:rsidRPr="00AD484C">
        <w:rPr>
          <w:rFonts w:ascii="Times New Roman" w:hAnsi="Times New Roman" w:cs="Times New Roman"/>
          <w:i/>
          <w:iCs/>
          <w:sz w:val="24"/>
          <w:szCs w:val="24"/>
        </w:rPr>
        <w:t>Tantangan yang Dihadapi</w:t>
      </w:r>
    </w:p>
    <w:p w14:paraId="7A19CAA5" w14:textId="77777777" w:rsidR="007364FC" w:rsidRPr="00AD484C" w:rsidRDefault="00EF5DF1"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Implementasi kebijakan moneter syariah di Indonesia menghadapi tantangan dan menawarkan peluang yang  signifikan  dalam  pengembangan  sistem  keuangan  yang  lebih  inklusif  dan  berkelanjutan.  Salah  satu tantangan  utama  adalah  kurangnya  pemahaman  dan  sosialisasi di  kalangan  </w:t>
      </w:r>
      <w:r w:rsidRPr="00AD484C">
        <w:rPr>
          <w:rFonts w:ascii="Times New Roman" w:hAnsi="Times New Roman" w:cs="Times New Roman"/>
          <w:sz w:val="24"/>
          <w:szCs w:val="24"/>
        </w:rPr>
        <w:lastRenderedPageBreak/>
        <w:t>masyarakat  terkait  konsep  dan manfaat kebijakan moneter syariah. Pemahaman yang rendah ini dapat menghambat adopsi sistem keuangan syariah secara luas, meskipun permintaan akan produk syariah semakin meningkat.Selain itu, regulasi yang masih kurang mendukung menjadi kendala lain dalam</w:t>
      </w:r>
      <w:r w:rsidRPr="00AD484C">
        <w:rPr>
          <w:rFonts w:ascii="Times New Roman" w:hAnsi="Times New Roman" w:cs="Times New Roman"/>
          <w:b/>
          <w:bCs/>
          <w:sz w:val="24"/>
          <w:szCs w:val="24"/>
        </w:rPr>
        <w:t xml:space="preserve"> </w:t>
      </w:r>
      <w:r w:rsidRPr="00AD484C">
        <w:rPr>
          <w:rFonts w:ascii="Times New Roman" w:hAnsi="Times New Roman" w:cs="Times New Roman"/>
          <w:sz w:val="24"/>
          <w:szCs w:val="24"/>
        </w:rPr>
        <w:t xml:space="preserve">implementasi kebijakan moneter syariah. </w:t>
      </w:r>
    </w:p>
    <w:p w14:paraId="045F47BA" w14:textId="0EF8CE94" w:rsidR="007364FC" w:rsidRPr="00AD484C" w:rsidRDefault="00EF5DF1"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Diperlukan kerangka regulasi yang jelas dan mendukung untuk memfasilitasi operasional dan pertumbuhan sistem keuangan syariah di </w:t>
      </w:r>
      <w:r w:rsidR="00712987" w:rsidRPr="00AD484C">
        <w:rPr>
          <w:rFonts w:ascii="Times New Roman" w:hAnsi="Times New Roman" w:cs="Times New Roman"/>
          <w:sz w:val="24"/>
          <w:szCs w:val="24"/>
        </w:rPr>
        <w:t>Indonesia</w:t>
      </w:r>
      <w:r w:rsidR="007364FC" w:rsidRPr="00AD484C">
        <w:rPr>
          <w:rFonts w:ascii="Times New Roman" w:hAnsi="Times New Roman" w:cs="Times New Roman"/>
          <w:sz w:val="24"/>
          <w:szCs w:val="24"/>
        </w:rPr>
        <w:t>.</w:t>
      </w:r>
    </w:p>
    <w:p w14:paraId="04562BC5" w14:textId="77777777" w:rsidR="007364FC" w:rsidRPr="00AD484C" w:rsidRDefault="00EF5DF1" w:rsidP="003228F0">
      <w:pPr>
        <w:pStyle w:val="ListParagraph"/>
        <w:spacing w:line="240" w:lineRule="auto"/>
        <w:ind w:left="-720"/>
        <w:jc w:val="both"/>
        <w:rPr>
          <w:rFonts w:ascii="Times New Roman" w:hAnsi="Times New Roman" w:cs="Times New Roman"/>
          <w:sz w:val="24"/>
          <w:szCs w:val="24"/>
        </w:rPr>
      </w:pPr>
      <w:r w:rsidRPr="00AD484C">
        <w:rPr>
          <w:rFonts w:ascii="Times New Roman" w:hAnsi="Times New Roman" w:cs="Times New Roman"/>
          <w:sz w:val="24"/>
          <w:szCs w:val="24"/>
        </w:rPr>
        <w:t>Tanpa regulasi yang kuat, potensi dari kebijakan moneter syariah  untuk  memberikan  dampak  positif  secara  maksimal  mungkin  tidak  dapat  tercapai(Hadi,  2022).Keterbatasan infrastruktur keuangan juga menjadi tantangan serius.</w:t>
      </w:r>
    </w:p>
    <w:p w14:paraId="149CCA26" w14:textId="77777777" w:rsidR="00AD484C" w:rsidRPr="00AD484C" w:rsidRDefault="00EF5DF1"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Pengembangan sistem keuangan syariah memerlukan  infrastruktur  yang  memadai,  termasuk  lembaga  keuangan  syariah  yang  kuat  dan  sistem pembayaran  yang  efisien.  Infrastruktur  yang  belum  memadai dapat  menjadi  hambatan  dalam  menyediakan layanan keuangan syariah yang terjangkau dan mudah diakses oleh masyarakat.</w:t>
      </w:r>
      <w:r w:rsidR="00FB0D4D" w:rsidRPr="00AD484C">
        <w:rPr>
          <w:rFonts w:ascii="Times New Roman" w:hAnsi="Times New Roman" w:cs="Times New Roman"/>
          <w:sz w:val="24"/>
          <w:szCs w:val="24"/>
        </w:rPr>
        <w:fldChar w:fldCharType="begin" w:fldLock="1"/>
      </w:r>
      <w:r w:rsidR="00331FF3" w:rsidRPr="00AD484C">
        <w:rPr>
          <w:rFonts w:ascii="Times New Roman" w:hAnsi="Times New Roman" w:cs="Times New Roman"/>
          <w:sz w:val="24"/>
          <w:szCs w:val="24"/>
        </w:rPr>
        <w:instrText>ADDIN CSL_CITATION {"citationItems":[{"id":"ITEM-1","itemData":{"DOI":"10.31004/irje.v4i2.613","ISSN":"2775-9482","abstract":"Penelitian ini bertujuan untuk mengisi kesenjangan penelitian tersebut dengan menganalisis secara mendalam pengaruh kebijakan moneter syariah terhadap berbagai indikator perekonomian di Indonesia. Penelitian ini menggunakan pendekatan studi kepustakaan atau analisis dokumen untuk mengetahui pengaruh kebijakan moneter syariah terhadap pembangunan ekonomi di Indonesia. Metode ini melibatkan pengumpulan dan analisis data sekunder dari berbagai sumber yang relevan dengan topik penelitian. Sumber data utama yang digunakan meliputi literatur terkait kebijakan moneter syariah, ekonomi syariah, dan perkembangan ekonomi di Indonesia. Literatur ini dapat berasal dari buku, jurnal ilmiah, artikel ilmiah, dan sumber terpercaya lainnya. Data statistik juga menjadi bagian penting dalam penelitian ini, antara lain data kebijakan moneter syariah, inflasi, pertumbuhan ekonomi, dan nilai tukar rupiah yang diperoleh dari lembaga seperti Bank Indonesia, Badan Pusat Statistik (BPS), dan lembaga resmi lainnya. Temuan penelitian ini menunjukkan bahwa kebijakan moneter syariah mempunyai potensi besar untuk menjadi instrumen yang efektif dalam mencapai tujuan pembangunan ekonomi nasional.","author":[{"dropping-particle":"","family":"Mutmainah","given":"Arofiani","non-dropping-particle":"","parse-names":false,"suffix":""},{"dropping-particle":"","family":"Khairiyah","given":"Dina Cheetah","non-dropping-particle":"","parse-names":false,"suffix":""},{"dropping-particle":"","family":"Nasution","given":"Habibah Ramadhani","non-dropping-particle":"","parse-names":false,"suffix":""},{"dropping-particle":"","family":"Sambo","given":"Rafly Aditya","non-dropping-particle":"","parse-names":false,"suffix":""},{"dropping-particle":"","family":"Cahya","given":"Septian Dwi","non-dropping-particle":"","parse-names":false,"suffix":""}],"container-title":"Indonesian Research Journal on Education","id":"ITEM-1","issue":"2","issued":{"date-parts":[["2024"]]},"page":"567-573","title":"Kajian Peran Kebijakan Moneter Syariah dalam Mendorong Pertumbuhan Ekonomi Indonesia","type":"article-journal","volume":"4"},"uris":["http://www.mendeley.com/documents/?uuid=56b49526-d363-49a0-afd6-e586f9fb7007"]}],"mendeley":{"formattedCitation":"(Mutmainah et al., 2024)","plainTextFormattedCitation":"(Mutmainah et al., 2024)","previouslyFormattedCitation":"(Mutmainah et al., 2024)"},"properties":{"noteIndex":0},"schema":"https://github.com/citation-style-language/schema/raw/master/csl-citation.json"}</w:instrText>
      </w:r>
      <w:r w:rsidR="00FB0D4D" w:rsidRPr="00AD484C">
        <w:rPr>
          <w:rFonts w:ascii="Times New Roman" w:hAnsi="Times New Roman" w:cs="Times New Roman"/>
          <w:sz w:val="24"/>
          <w:szCs w:val="24"/>
        </w:rPr>
        <w:fldChar w:fldCharType="separate"/>
      </w:r>
      <w:r w:rsidR="00FB0D4D" w:rsidRPr="00AD484C">
        <w:rPr>
          <w:rFonts w:ascii="Times New Roman" w:hAnsi="Times New Roman" w:cs="Times New Roman"/>
          <w:noProof/>
          <w:sz w:val="24"/>
          <w:szCs w:val="24"/>
        </w:rPr>
        <w:t>(Mutmainah et al., 2024)</w:t>
      </w:r>
      <w:r w:rsidR="00FB0D4D" w:rsidRPr="00AD484C">
        <w:rPr>
          <w:rFonts w:ascii="Times New Roman" w:hAnsi="Times New Roman" w:cs="Times New Roman"/>
          <w:sz w:val="24"/>
          <w:szCs w:val="24"/>
        </w:rPr>
        <w:fldChar w:fldCharType="end"/>
      </w:r>
    </w:p>
    <w:p w14:paraId="37927C92" w14:textId="77777777" w:rsidR="00AD484C" w:rsidRPr="00AD484C" w:rsidRDefault="00EF5DF1"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Di  sisi  lain,  terdapat  peluang  besar  bagi  pengembangan  kebijakan  moneter  syariah  di  Indonesia. Permintaan yang semakin tinggi akan produk keuangan syariah menciptakan pasar yang berpotensi besar untuk pertumbuhan.  Dukungan  yang  meningkat  dari  pemerintah  terhadap  ekonomi  syariah  juga  menjadi  faktor penting dalam menciptakan lingkungan yang kondusif bagi perkembangan kebijakan moneter syariah.</w:t>
      </w:r>
    </w:p>
    <w:p w14:paraId="21188AE9" w14:textId="5D7A4ABF" w:rsidR="007364FC" w:rsidRPr="00AD484C" w:rsidRDefault="00EF5DF1"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Dengan memanfaatkan  peluang  ini,  implementasi  kebijakan  moneter  syariah  dapat  meningkatkan  inklusi  keuangan, mendukung  pertumbuhan  ekonomi  yang  berkelanjutan,  dan  memperkuat  stabilitas  sistem  keuangan  secara keseluruhan. Upaya yang terus-menerus dalam meningkatkan pemahaman masyarakat, memperbaiki regulasi, dan  membangun  infrastruktur  yang  kokoh  akan  menjadi  kunci  dalam  meraih  potensi  positif  dari  kebijakan moneter syariah di masa depan(Ramadhan &amp; Beik, 2023)</w:t>
      </w:r>
      <w:r w:rsidR="007364FC" w:rsidRPr="00AD484C">
        <w:rPr>
          <w:rFonts w:ascii="Times New Roman" w:hAnsi="Times New Roman" w:cs="Times New Roman"/>
          <w:sz w:val="24"/>
          <w:szCs w:val="24"/>
        </w:rPr>
        <w:t>.</w:t>
      </w:r>
    </w:p>
    <w:p w14:paraId="221CBBB4" w14:textId="77777777" w:rsidR="007364FC" w:rsidRPr="00AD484C" w:rsidRDefault="007364FC" w:rsidP="003228F0">
      <w:pPr>
        <w:pStyle w:val="ListParagraph"/>
        <w:spacing w:line="240" w:lineRule="auto"/>
        <w:ind w:left="-720"/>
        <w:jc w:val="both"/>
        <w:rPr>
          <w:rFonts w:ascii="Times New Roman" w:hAnsi="Times New Roman" w:cs="Times New Roman"/>
          <w:sz w:val="24"/>
          <w:szCs w:val="24"/>
        </w:rPr>
      </w:pPr>
    </w:p>
    <w:p w14:paraId="61B36973" w14:textId="77777777" w:rsidR="00AD484C" w:rsidRPr="00AD484C" w:rsidRDefault="00994F3B" w:rsidP="003228F0">
      <w:pPr>
        <w:pStyle w:val="ListParagraph"/>
        <w:spacing w:line="240" w:lineRule="auto"/>
        <w:ind w:left="-720"/>
        <w:jc w:val="both"/>
        <w:rPr>
          <w:rFonts w:ascii="Times New Roman" w:hAnsi="Times New Roman" w:cs="Times New Roman"/>
          <w:i/>
          <w:iCs/>
          <w:sz w:val="24"/>
          <w:szCs w:val="24"/>
        </w:rPr>
      </w:pPr>
      <w:r w:rsidRPr="00AD484C">
        <w:rPr>
          <w:rFonts w:ascii="Times New Roman" w:hAnsi="Times New Roman" w:cs="Times New Roman"/>
          <w:i/>
          <w:iCs/>
          <w:sz w:val="24"/>
          <w:szCs w:val="24"/>
        </w:rPr>
        <w:t>Perbedaan Keuangan antara konensional dan Syariah terhadap Kebijakan Moneter</w:t>
      </w:r>
    </w:p>
    <w:p w14:paraId="618F9239"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Kebijakan moneter adalah alat Bank Indonesia yang dirancang untuk digunakan untuk mengendalikan variabel keuangan seperti suku bunga dan jumlah uang beredar. Sistem moneter Islam merupakan sistem ekonomi Islam yang mempunyai tujuan yang dapat dicapai, dalam uang islam, antara lain terwujudnya keadilan dan kemanfaatan. Keselarasan antar sektor ekonomi moneter mempengaruhi seluruh sektor perekonomian. Bangkitnya lembaga keuangan syariah mempengaruhi keseimbangan perekonomian dan pertumbuhan ekonomi. </w:t>
      </w:r>
    </w:p>
    <w:p w14:paraId="20A8B5D2"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Sistem keuangan syariah di Indonesia berkembang pesat. Dilihat dari peningkatan dana pihak ketiga (DPK) dan rekening bank syariah, terlihat pada Juli 2021, penerimaan DOK dari bank syariah mencapai Rp504 triliun dan dana yang disetor sebesar Rp405 triliun. Perkembangan real estate dan keuangan serta keuangan syariah akan semakin meningkat dan tumbuh secara eksponensial setiap tahunnya. Kebijakan moneter merupakan upaya untuk mengendalikan kondisi makroekonomi agar dapat berfungsi sesuai keinginan dengan mengatur jumlah uang yang beredar dalam perekonomian. Hal ini bertujuan untuk menjamin stabilitas terhadap inflasi dan pertumbuhan produksi yang seimbang. Hampir semua sektor perekonomian saling berhubungan sedemikian rupa sehingga sektor keuangan berkembang lebih cepat dibandingkan sektor riil. Hal ini disebabkan oleh sektor keuangan lebih cepat memberikan keuntungan daripada sektor riil.</w:t>
      </w:r>
    </w:p>
    <w:p w14:paraId="4A9CD41A"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b/>
          <w:bCs/>
          <w:sz w:val="24"/>
          <w:szCs w:val="24"/>
        </w:rPr>
        <w:t>S</w:t>
      </w:r>
      <w:r w:rsidRPr="00AD484C">
        <w:rPr>
          <w:rFonts w:ascii="Times New Roman" w:hAnsi="Times New Roman" w:cs="Times New Roman"/>
          <w:sz w:val="24"/>
          <w:szCs w:val="24"/>
        </w:rPr>
        <w:t xml:space="preserve">istem ekonomi tradisional terhadap kebijakan moneter berbeda dengan sistem ekonomi Islam. Kebijakan moneter konvensional diukur dengan tingkat suku bunga Sertifikat Bank Indonesia (SBI), jumlah total pinjaman bank umum (LOAN) dan rata-rata imbal hasil obligasi pemerintah (SUNO). Instrumen yang digunakan sebagai instrumen kebijakan moneter dalam sistem moneter tradisional pada hakikatnya dirancang untuk mengendalikan uang yang beredar dimasyarakat, justru merupakan pemborosan. Pasa saat yang sama, kebijakan moneter dalam sistem Islam tidak mengizinkan instrumen berbunga diamortisasi pasar. </w:t>
      </w:r>
    </w:p>
    <w:p w14:paraId="4F7F1DB6" w14:textId="61D314D0"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Kebijakan moneter Islam berfokus pada menjaga sirkulasi sumber daya keuangan. Jadi sederhananya, regulator harus memastikan ketersediaan perusahaan keuangan dan produk keuangan berbasis syariah yang mampu menjaring potensi investasi masyarakat.Pertanyaan pertama berfokus pada </w:t>
      </w:r>
      <w:r w:rsidRPr="00AD484C">
        <w:rPr>
          <w:rFonts w:ascii="Times New Roman" w:hAnsi="Times New Roman" w:cs="Times New Roman"/>
          <w:sz w:val="24"/>
          <w:szCs w:val="24"/>
        </w:rPr>
        <w:lastRenderedPageBreak/>
        <w:t>kebijakan moneter, mekanisme kebijakan moneter, dan lebih khusus lagi, mekanisme menjalin hubungan positif dengan sektor riil perekonomian. Karena itu adalah bagian.</w:t>
      </w:r>
      <w:r w:rsidR="00AD484C" w:rsidRPr="00AD484C">
        <w:rPr>
          <w:rFonts w:ascii="Times New Roman" w:hAnsi="Times New Roman" w:cs="Times New Roman"/>
          <w:sz w:val="24"/>
          <w:szCs w:val="24"/>
        </w:rPr>
        <w:t xml:space="preserve"> </w:t>
      </w:r>
      <w:r w:rsidRPr="00AD484C">
        <w:rPr>
          <w:rFonts w:ascii="Times New Roman" w:hAnsi="Times New Roman" w:cs="Times New Roman"/>
          <w:sz w:val="24"/>
          <w:szCs w:val="24"/>
        </w:rPr>
        <w:t>Kebijakan moneter dapat dikatakan tidak mempengaruhi sektor riil perekonomian. Dengan kata lain, perekonomian berkembang dalam siklus penyesalan.</w:t>
      </w:r>
    </w:p>
    <w:p w14:paraId="163C64BA"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Mekanisme transmisi merupakan saluran atau mekanisme yang menghubungkan kebijakan moneter dengan kebijakan ekonomi. Para ekonom berpendapat bahwa uang memainkan peran penting dalam mempengaruhi kinerja. Di sisi lain, Keynes berpendapat, ada variabel lain yang mempengaruhi hasil riil, misalnya belanja pemerintah. Saat ini, para ekonom sepakat dengan para pengambil keputusan bahwa kebijakan moneter mempunyai dampak yang signifikan terhadap sektor ini, setidaknya dalam jangka pendek, dan menekankan bahwa salah satu mekanisme transmisinya adalah saluran kredit. </w:t>
      </w:r>
    </w:p>
    <w:p w14:paraId="2777DEAB"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Pada dasarnya implementasi kebijakan moneter merupakan interaksi antar bank sentral. Lembaga keuangan dan pengelola keuangan lainnya, serta bank dan lembaga lainnya. Pada perekonomian sektor riil lainnya. Interaksi ini terjadi dalam dua tahap proses pembubutan Keuangan. Pertama, interaksi bank sentral dengan bank dan lembaga keuangan lainnya dalam berbagai transaksi di pasar keuangan. Kedua, interaksi terkait tindakan mediasi antara sektor perbankan dan lembaga serta operator keuangan lainnya dalam berbagai fungsi sektor riil. </w:t>
      </w:r>
      <w:r w:rsidR="00331FF3" w:rsidRPr="00AD484C">
        <w:rPr>
          <w:rFonts w:ascii="Times New Roman" w:hAnsi="Times New Roman" w:cs="Times New Roman"/>
          <w:sz w:val="24"/>
          <w:szCs w:val="24"/>
        </w:rPr>
        <w:fldChar w:fldCharType="begin" w:fldLock="1"/>
      </w:r>
      <w:r w:rsidR="00331FF3" w:rsidRPr="00AD484C">
        <w:rPr>
          <w:rFonts w:ascii="Times New Roman" w:hAnsi="Times New Roman" w:cs="Times New Roman"/>
          <w:sz w:val="24"/>
          <w:szCs w:val="24"/>
        </w:rPr>
        <w:instrText>ADDIN CSL_CITATION {"citationItems":[{"id":"ITEM-1","itemData":{"abstract":"… lebih cepat dalam mengendalikan laju inflasi dibandingkan dengan kebijakan moneter syariah… syariah untuk mengatasi inflasi tahun 2013-2020. Kata Kunci: Inflasi; Kebijakan Moneter; …","author":[{"dropping-particle":"","family":"Meydina","given":"Shalwa Herdiana","non-dropping-particle":"","parse-names":false,"suffix":""},{"dropping-particle":"","family":"Sya'bani","given":"Ahmad","non-dropping-particle":"","parse-names":false,"suffix":""},{"dropping-particle":"","family":"Maulida","given":"Nurul Aini","non-dropping-particle":"","parse-names":false,"suffix":""}],"container-title":"Jurnal Ilmiah Ekonomi dan Manajemen (JIEM)","id":"ITEM-1","issue":"1","issued":{"date-parts":[["2024"]]},"page":"689-693","title":"Efektifitas Pada Kebijakan Sistem Moneter Dalam islam","type":"article-journal","volume":"2"},"uris":["http://www.mendeley.com/documents/?uuid=5a8d8bf0-2169-462e-8419-5d83c48b3ed3"]}],"mendeley":{"formattedCitation":"(Meydina et al., 2024)","plainTextFormattedCitation":"(Meydina et al., 2024)","previouslyFormattedCitation":"(Meydina et al., 2024)"},"properties":{"noteIndex":0},"schema":"https://github.com/citation-style-language/schema/raw/master/csl-citation.json"}</w:instrText>
      </w:r>
      <w:r w:rsidR="00331FF3" w:rsidRPr="00AD484C">
        <w:rPr>
          <w:rFonts w:ascii="Times New Roman" w:hAnsi="Times New Roman" w:cs="Times New Roman"/>
          <w:sz w:val="24"/>
          <w:szCs w:val="24"/>
        </w:rPr>
        <w:fldChar w:fldCharType="separate"/>
      </w:r>
      <w:r w:rsidR="00331FF3" w:rsidRPr="00AD484C">
        <w:rPr>
          <w:rFonts w:ascii="Times New Roman" w:hAnsi="Times New Roman" w:cs="Times New Roman"/>
          <w:noProof/>
          <w:sz w:val="24"/>
          <w:szCs w:val="24"/>
        </w:rPr>
        <w:t>(Meydina et al., 2024)</w:t>
      </w:r>
      <w:r w:rsidR="00331FF3" w:rsidRPr="00AD484C">
        <w:rPr>
          <w:rFonts w:ascii="Times New Roman" w:hAnsi="Times New Roman" w:cs="Times New Roman"/>
          <w:sz w:val="24"/>
          <w:szCs w:val="24"/>
        </w:rPr>
        <w:fldChar w:fldCharType="end"/>
      </w:r>
    </w:p>
    <w:p w14:paraId="0584D482"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Peran prinsip syariah dalam kebijakan moneter adalah kunci untuk membentuk ekonomi yang stabil dan berkelanjutan, sambil menghindari dampak negatif yang tidak diinginkan. Kebijakan moneter Islam merujuk pada prinsip-prinsip ekonomi Islam yang terinspirasi oleh ajaran Al-Quran dan Hadis. Di antara poin-poin sentralnya adalah larangan terhadap praktik riba atau bunga.</w:t>
      </w:r>
    </w:p>
    <w:p w14:paraId="4C980ACA" w14:textId="6705FA7A"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Dalam kerangka kebijakan moneter, prinsip</w:t>
      </w:r>
      <w:r w:rsidR="00960517">
        <w:rPr>
          <w:rFonts w:ascii="Times New Roman" w:hAnsi="Times New Roman" w:cs="Times New Roman"/>
          <w:sz w:val="24"/>
          <w:szCs w:val="24"/>
        </w:rPr>
        <w:t>-</w:t>
      </w:r>
      <w:r w:rsidRPr="00AD484C">
        <w:rPr>
          <w:rFonts w:ascii="Times New Roman" w:hAnsi="Times New Roman" w:cs="Times New Roman"/>
          <w:sz w:val="24"/>
          <w:szCs w:val="24"/>
        </w:rPr>
        <w:t xml:space="preserve">prinsip syariah mendorong peningkatan cadangan devisa, pembatasan pengeluaran investasi, dan pengaturan jumlah uang beredar untuk mencapai keseimbangan pertumbuhan ekonomi yang tinggi, stabilitas harga, dan pembangunan ekonomi yang merata. Pendekatan kebijakan moneter yang didasarkan pada prinsip syariah juga menekankan pentingnya distribusi keadilan dalam sistem keuangan. Ini mencakup perlindungan terhadap ketidakadilan dan penyalahgunaan kekuasaan dalam transaksi keuangan. </w:t>
      </w:r>
    </w:p>
    <w:p w14:paraId="03476B28" w14:textId="53D9261D" w:rsidR="007364FC" w:rsidRPr="00AD484C" w:rsidRDefault="00994F3B" w:rsidP="003228F0">
      <w:pPr>
        <w:pStyle w:val="ListParagraph"/>
        <w:spacing w:line="240" w:lineRule="auto"/>
        <w:ind w:left="-720" w:firstLine="568"/>
        <w:jc w:val="both"/>
        <w:rPr>
          <w:rFonts w:ascii="Times New Roman" w:hAnsi="Times New Roman" w:cs="Times New Roman"/>
          <w:i/>
          <w:iCs/>
          <w:sz w:val="24"/>
          <w:szCs w:val="24"/>
        </w:rPr>
      </w:pPr>
      <w:r w:rsidRPr="00AD484C">
        <w:rPr>
          <w:rFonts w:ascii="Times New Roman" w:hAnsi="Times New Roman" w:cs="Times New Roman"/>
          <w:sz w:val="24"/>
          <w:szCs w:val="24"/>
        </w:rPr>
        <w:t>Selain itu, prinsip-prinsip syariah juga mendorong transparansi dan akuntabilitas dalam pelaksanaan kebijakan moneter, memastikan bahwa keputusan yang diambil mencerminkan kepentingan umum dan mencapai tujuan-tujuan makroekonomi yang diinginkan.(Sitepu, 2017).</w:t>
      </w:r>
    </w:p>
    <w:p w14:paraId="790789A1"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Dengan mendasarkan kebijakan moneter pada prinsip-prinsip syariah, diharapkan sistem keuangan dapat beroperasi dalam batas-batas yang sesuai dengan nilai-nilai Islam, sambil tetap memfasilitasi pertumbuhan ekonomi yang inklusif dan berkelanjutan. Ini menempatkan penekanan yang kuat pada keadilan, transparansi, dan keseimbangan antara pertumbuhan ekonomi dan stabilitas harga, yang merupakan elemen-elemen kunci dalam membangun ekonomi yang sehat dan berdaya tahan</w:t>
      </w:r>
      <w:r w:rsidR="007364FC" w:rsidRPr="00AD484C">
        <w:rPr>
          <w:rFonts w:ascii="Times New Roman" w:hAnsi="Times New Roman" w:cs="Times New Roman"/>
          <w:sz w:val="24"/>
          <w:szCs w:val="24"/>
        </w:rPr>
        <w:t>.</w:t>
      </w:r>
    </w:p>
    <w:p w14:paraId="2878C2B6"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Kebijakan moneter syariah menghilangkan unsur riba dan obligasi bank, yang dilarang dalam ekonomi Islam. Sistem moneter syariah beroperasi pada aturan emas, yang memiliki dampak positif terhadap stabilitas nilai tukar mata uang terhadap mata uang asing. Kebijakan moneter syariah juga dapat mengatur aliran uang dalam perekonomian untuk menjaga stabilitas harga, inflasi terkendali, dan lapangan pasar. Kebijakan moneter syariah memiliki persamaan dan perbedaan prinsip dengan sistem kebijakan moneter konvensional. Penelitian yang dilakukan oleh beberapa peneliti menunjukkan bahwa kebijakan moneter syariah dapat mempengaruhi nilai tukar mata uang terhadap mata uang asing melalui jalur pembiayaan perbankan syariah.(Safitri, 2013).</w:t>
      </w:r>
    </w:p>
    <w:p w14:paraId="42E0B5E0"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Dalam konteks kebijakan moneter syariah, bank sentral mengendalikan jumlah uang beredar, suku bunga, dan likuiditas di pasar keuangan untuk mencapai stabilitas harga dan pertumbuhan ekonomi yang seimbang. Kebijakan moneter syariah juga dapat mengatur suplai uang agar tidak beredar secara berlebihan, yang dapat memiliki dampak positif terhadap stabilitas nilai tukar mata uang. bunga atau riba, kebijakan moneter syariah mendorong investasi yang lebih produktif dan berorientasi pada ekonomi riil. Ini berarti bahwa sumber daya keuangan lebih cenderung dialokasikan untuk proyek-proyek yang memberikan nilai tambah nyata bagi perekonomian, seperti infrastruktur, industri, dan sektor riil lainnya.</w:t>
      </w:r>
    </w:p>
    <w:p w14:paraId="5286E448"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Dengan demikian, stabilitas mata uang cenderung terjaga karena investasi yang lebih berkualitas dan berkelanjutan. Selain itu, larangan riba dalam kebijakan moneter syariah mempromosikan keadilan </w:t>
      </w:r>
      <w:r w:rsidRPr="00AD484C">
        <w:rPr>
          <w:rFonts w:ascii="Times New Roman" w:hAnsi="Times New Roman" w:cs="Times New Roman"/>
          <w:sz w:val="24"/>
          <w:szCs w:val="24"/>
        </w:rPr>
        <w:lastRenderedPageBreak/>
        <w:t xml:space="preserve">dalam sistem keuangan. Dengan tidak adanya bunga, transaksi keuangan menjadi lebih adil dan seimbang, meminimalkan ketidaksetaraan dalam distribusi manfaat dan beban keuangan di masyarakat. </w:t>
      </w:r>
    </w:p>
    <w:p w14:paraId="6D2273BE"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Hal ini dapat mengurangi ketidakstabilan sosial dan ekonomi yang dapat memengaruhi nilai mata uang, karena ketidakadilan dalam sistem keuangan sering kali menjadi pemicu konflik sosial dan ketidakstabilan ekonomi. Terakhir, larangan riba dalam kebijakan moneter syariah juga membantu mengurangi risiko spekulasi dan gejolak pasar yang berlebihan. Dengan tidak adanya bunga, motivasi untuk melakukan spekulasi atau mengambil risiko yang tidak seimbang dalam investasi menjadi berkurang.</w:t>
      </w:r>
    </w:p>
    <w:p w14:paraId="0BC251D3"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Hal ini dapat membantu menjaga stabilitas mata uang dengan mencegah terjadinya gejolak pasar yang tidak stabil dan merugikan bagi nilai mata uang. Dengan demikian, larangan riba dalam kebijakan moneter syariah berperan penting dalam menjaga stabilitas mata uang dan stabilitas ekonomi secara keseluruhan. Larangan riba dalam kebijakan moneter syariah memiliki dampak yang signifikan pada kebijakan suku bunga, kredit, dan inflasi. Pertama-tama, larangan riba mendorong penggunaan instrumen keuangan yang berbasis pada prinsip keuntungan bersama dan berbagi risiko, seperti murabahah, mudharabah, dan musyarakah. </w:t>
      </w:r>
    </w:p>
    <w:p w14:paraId="75007DF6" w14:textId="5DBF3788" w:rsidR="007364F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Hal ini dapat mengubah dinamika penetapan suku bunga, di mana suku bunga lebih cenderung mencerminkan keuntungan yang adil bagi kedua belah pihak, bukan hanya keuntungan bagi pemberi pinjaman.</w:t>
      </w:r>
    </w:p>
    <w:p w14:paraId="497E4C36" w14:textId="77777777" w:rsidR="00AD484C" w:rsidRPr="00AD484C" w:rsidRDefault="00994F3B" w:rsidP="003228F0">
      <w:pPr>
        <w:pStyle w:val="ListParagraph"/>
        <w:spacing w:line="240" w:lineRule="auto"/>
        <w:ind w:left="-720"/>
        <w:jc w:val="both"/>
        <w:rPr>
          <w:rFonts w:ascii="Times New Roman" w:hAnsi="Times New Roman" w:cs="Times New Roman"/>
          <w:sz w:val="24"/>
          <w:szCs w:val="24"/>
        </w:rPr>
      </w:pPr>
      <w:r w:rsidRPr="00AD484C">
        <w:rPr>
          <w:rFonts w:ascii="Times New Roman" w:hAnsi="Times New Roman" w:cs="Times New Roman"/>
          <w:sz w:val="24"/>
          <w:szCs w:val="24"/>
        </w:rPr>
        <w:t xml:space="preserve">Dengan demikian, larangan riba dapat menghasilkan suku bunga yang lebih stabil dan adil, yang pada gilirannya dapat memengaruhi ketersediaan kredit dan aktivitas ekonomi secara keseluruhan. </w:t>
      </w:r>
    </w:p>
    <w:p w14:paraId="7C035898"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Ketika larangan riba diterapkan, kebijakan kredit dalam sistem keuangan syariah menjadi lebih cermat dan berorientasi pada prinsip keadilan dan transparansi. Ini berarti bahwa lembaga keuangan syariah lebih memperhatikan risiko-risiko yang terlibat dalam transaksi kredit dan berupaya untuk mengurangi kemungkinan gagal bayar atau pembayaran yang terlambat. Akibatnya, kredit yang diberikan cenderung lebih terkontrol dan berbasis pada analisis risiko yang lebih ketat, yang dapat mempengaruhi tingkat akses terhadap kredit bagi masyarakat dan bisnis. Namun, pendekatan yang lebih hati-hati ini juga dapat membantu mencegah kemungkinan terjadinya gelembung kredit yang berlebihan dan krisis keuangan. Kebijakan moneter syariah memiliki dampak yang signifikan terhadap stabilitas mata uang dalam sebuah ekonomi.</w:t>
      </w:r>
    </w:p>
    <w:p w14:paraId="277AF3E4" w14:textId="77777777" w:rsidR="00AD484C"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Prinsip-prinsip utama kebijakan moneter syariah, seperti larangan riba, transparansi, keadilan, dan keseimbangan ekonomi, berperan penting dalam menjaga stabilitas mata uang. Larangan riba mempengaruhi suku bunga, kredit, dan inflasi, yang secara langsung memengaruhi nilai tukar mata uang. Transparansi dalam kebijakan moneter syariah meningkatkan kepercayaan masyarakat terhadap sistem keuangan dan mata uang, sementara keadilan dalam distribusi kekayaan menciptakan stabilitas sosial ekonomi yang berkelanjutan.</w:t>
      </w:r>
    </w:p>
    <w:p w14:paraId="59FCBEAA" w14:textId="42A0A230" w:rsidR="00994F3B" w:rsidRPr="00AD484C" w:rsidRDefault="00994F3B"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Prinsip keseimbangan ekonomi juga menjaga stabilitas mata uang dengan menjaga keseimbangan antara penawaran dan permintaan uang. Dengan demikian, kebijakan moneter syariah secara keseluruhan mempromosikan stabilitas jangka panjang dalam sistem keuangan dan mata uang, yang pada akhirnya berkontribusi pada keberlanjutan ekonomi dan stabilitas nilai tukar mata uang dalam jangka panjang</w:t>
      </w:r>
      <w:r w:rsidR="00331FF3" w:rsidRPr="00AD484C">
        <w:rPr>
          <w:rFonts w:ascii="Times New Roman" w:hAnsi="Times New Roman" w:cs="Times New Roman"/>
          <w:sz w:val="24"/>
          <w:szCs w:val="24"/>
        </w:rPr>
        <w:t xml:space="preserve"> </w:t>
      </w:r>
      <w:r w:rsidR="00331FF3" w:rsidRPr="00AD484C">
        <w:rPr>
          <w:rFonts w:ascii="Times New Roman" w:hAnsi="Times New Roman" w:cs="Times New Roman"/>
          <w:sz w:val="24"/>
          <w:szCs w:val="24"/>
        </w:rPr>
        <w:fldChar w:fldCharType="begin" w:fldLock="1"/>
      </w:r>
      <w:r w:rsidR="00331FF3" w:rsidRPr="00AD484C">
        <w:rPr>
          <w:rFonts w:ascii="Times New Roman" w:hAnsi="Times New Roman" w:cs="Times New Roman"/>
          <w:sz w:val="24"/>
          <w:szCs w:val="24"/>
        </w:rPr>
        <w:instrText>ADDIN CSL_CITATION {"citationItems":[{"id":"ITEM-1","itemData":{"abstract":"Sharia monetary policy has become the focus of attention in global economic studies, especially in the context of efforts to maintain currency stability. With principles based on Islamic values, sharia monetary policy emphasizes the prohibition of usury, transparency, justice and economic balance. Through the prohibition of usury, sharia monetary policy influences interest rates, credit, and inflation, which in turn impact currency exchange rates. Transparency in sharia monetary policy also increases public confidence in the financial system and currency, while fairness in the distribution of wealth can create sustainable socioeconomic stability. The principles of economic balance in sharia monetary policy also play an important role in influencing currency stability by maintaining a balance between the supply and demand for money. As a result, Sharia monetary policy promotes long-term stability in the financial system and currency, which in turn contributes to economic sustainability and currency exchange rate stability in the long-term.","author":[{"dropping-particle":"","family":"Ningrum","given":"Deviana Putri","non-dropping-particle":"","parse-names":false,"suffix":""},{"dropping-particle":"","family":"Hasanah","given":"Siti Aisyah","non-dropping-particle":"","parse-names":false,"suffix":""},{"dropping-particle":"","family":"Zaroh","given":"Yuni","non-dropping-particle":"","parse-names":false,"suffix":""},{"dropping-particle":"","family":"Firdaus","given":"Naufal","non-dropping-particle":"","parse-names":false,"suffix":""}],"container-title":"Jurnal Media Akademik","id":"ITEM-1","issue":"6","issued":{"date-parts":[["2024"]]},"page":"3031-5220","title":"Pengaruh Kebijakan Moneter Syariah Terhadap Stabilitas Mata Uang","type":"article-journal","volume":"2"},"uris":["http://www.mendeley.com/documents/?uuid=d40ba42c-1cd3-47c6-9fe0-2c9ecfe8ff91"]}],"mendeley":{"formattedCitation":"(Ningrum et al., 2024)","plainTextFormattedCitation":"(Ningrum et al., 2024)"},"properties":{"noteIndex":0},"schema":"https://github.com/citation-style-language/schema/raw/master/csl-citation.json"}</w:instrText>
      </w:r>
      <w:r w:rsidR="00331FF3" w:rsidRPr="00AD484C">
        <w:rPr>
          <w:rFonts w:ascii="Times New Roman" w:hAnsi="Times New Roman" w:cs="Times New Roman"/>
          <w:sz w:val="24"/>
          <w:szCs w:val="24"/>
        </w:rPr>
        <w:fldChar w:fldCharType="separate"/>
      </w:r>
      <w:r w:rsidR="00331FF3" w:rsidRPr="00AD484C">
        <w:rPr>
          <w:rFonts w:ascii="Times New Roman" w:hAnsi="Times New Roman" w:cs="Times New Roman"/>
          <w:noProof/>
          <w:sz w:val="24"/>
          <w:szCs w:val="24"/>
        </w:rPr>
        <w:t>(Ningrum et al., 2024)</w:t>
      </w:r>
      <w:r w:rsidR="00331FF3" w:rsidRPr="00AD484C">
        <w:rPr>
          <w:rFonts w:ascii="Times New Roman" w:hAnsi="Times New Roman" w:cs="Times New Roman"/>
          <w:sz w:val="24"/>
          <w:szCs w:val="24"/>
        </w:rPr>
        <w:fldChar w:fldCharType="end"/>
      </w:r>
    </w:p>
    <w:p w14:paraId="6A1009E7" w14:textId="77777777" w:rsidR="007364FC" w:rsidRPr="00AD484C" w:rsidRDefault="007364FC" w:rsidP="007364FC">
      <w:pPr>
        <w:pStyle w:val="ListParagraph"/>
        <w:spacing w:line="240" w:lineRule="auto"/>
        <w:ind w:left="-426"/>
        <w:jc w:val="both"/>
        <w:rPr>
          <w:rFonts w:ascii="Times New Roman" w:hAnsi="Times New Roman" w:cs="Times New Roman"/>
          <w:i/>
          <w:iCs/>
          <w:sz w:val="24"/>
          <w:szCs w:val="24"/>
        </w:rPr>
      </w:pPr>
    </w:p>
    <w:p w14:paraId="7024B326" w14:textId="77777777" w:rsidR="007364FC" w:rsidRPr="00AD484C" w:rsidRDefault="00577837" w:rsidP="007364FC">
      <w:pPr>
        <w:pStyle w:val="ListParagraph"/>
        <w:numPr>
          <w:ilvl w:val="0"/>
          <w:numId w:val="29"/>
        </w:numPr>
        <w:spacing w:line="240" w:lineRule="auto"/>
        <w:ind w:left="-426" w:hanging="283"/>
        <w:jc w:val="both"/>
        <w:rPr>
          <w:rFonts w:ascii="Times New Roman" w:hAnsi="Times New Roman" w:cs="Times New Roman"/>
          <w:sz w:val="24"/>
          <w:szCs w:val="24"/>
        </w:rPr>
      </w:pPr>
      <w:r w:rsidRPr="00AD484C">
        <w:rPr>
          <w:rFonts w:ascii="Times New Roman" w:hAnsi="Times New Roman" w:cs="Times New Roman"/>
          <w:b/>
          <w:bCs/>
          <w:sz w:val="24"/>
          <w:szCs w:val="24"/>
        </w:rPr>
        <w:t>K</w:t>
      </w:r>
      <w:r w:rsidR="006521F4" w:rsidRPr="00AD484C">
        <w:rPr>
          <w:rFonts w:ascii="Times New Roman" w:hAnsi="Times New Roman" w:cs="Times New Roman"/>
          <w:b/>
          <w:bCs/>
          <w:sz w:val="24"/>
          <w:szCs w:val="24"/>
        </w:rPr>
        <w:t>esimpulan</w:t>
      </w:r>
    </w:p>
    <w:p w14:paraId="589988F3" w14:textId="77777777" w:rsidR="00AD484C" w:rsidRPr="00AD484C" w:rsidRDefault="00CC6F83"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Berdasarkan pembahasan di atas, kebijakan moneter memegang peran yang sangat penting dalam mendorong pertumbuhan keuangan syariah, meskipun ada tantangan dan hambatan dalam implementasinya. Kebijakan moneter yang berbasis pada prinsip-prinsip syariah, seperti larangan terhadap riba, gharar, dan spekulasi, memberikan landasan yang jelas dalam menciptakan sistem keuangan yang adil, stabil, dan berkelanjutan. </w:t>
      </w:r>
    </w:p>
    <w:p w14:paraId="2F479DF5" w14:textId="77777777" w:rsidR="00AD484C" w:rsidRPr="00AD484C" w:rsidRDefault="00CC6F83"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 xml:space="preserve">Dengan memperhatikan stabilitas harga dan pengelolaan risiko secara konservatif, kebijakan moneter syariah berpotensi memperkuat sistem keuangan syariah, mendukung inklusi keuangan, dan memastikan distribusi kesejahteraan yang merata. Penerapan kebijakan moneter syariah dapat mendorong pertumbuhan keuangan syariah dengan cara mengendalikan inflasi, menjaga kestabilan harga, serta meningkatkan kepercayaan investor dalam pasar keuangan syariah. </w:t>
      </w:r>
    </w:p>
    <w:p w14:paraId="55D7037A" w14:textId="1527B496" w:rsidR="007364FC" w:rsidRPr="00AD484C" w:rsidRDefault="00CC6F83"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lastRenderedPageBreak/>
        <w:t>Kebijakan ini juga berperan dalam menciptakan pasar yang lebih luas bagi produk-produk keuangan syariah, seiring dengan meningkatnya permintaan masyarakat terhadap layanan keuangan yang sesuai dengan prinsip syariah.</w:t>
      </w:r>
    </w:p>
    <w:p w14:paraId="77D46F18" w14:textId="77777777" w:rsidR="00AD484C" w:rsidRPr="00AD484C" w:rsidRDefault="00CC6F83" w:rsidP="003228F0">
      <w:pPr>
        <w:pStyle w:val="ListParagraph"/>
        <w:spacing w:line="240" w:lineRule="auto"/>
        <w:ind w:left="-720"/>
        <w:jc w:val="both"/>
        <w:rPr>
          <w:rFonts w:ascii="Times New Roman" w:hAnsi="Times New Roman" w:cs="Times New Roman"/>
          <w:sz w:val="24"/>
          <w:szCs w:val="24"/>
        </w:rPr>
      </w:pPr>
      <w:r w:rsidRPr="00AD484C">
        <w:rPr>
          <w:rFonts w:ascii="Times New Roman" w:hAnsi="Times New Roman" w:cs="Times New Roman"/>
          <w:sz w:val="24"/>
          <w:szCs w:val="24"/>
        </w:rPr>
        <w:t xml:space="preserve">Namun, untuk mencapai hasil yang maksimal, kebijakan moneter syariah memerlukan dukungan dari regulasi yang kuat, pemahaman yang lebih baik di kalangan masyarakat, serta pengembangan infrastruktur keuangan yang memadai. Tantangan seperti kurangnya pemahaman, keterbatasan regulasi, dan infrastruktur yang belum memadai harus diatasi agar kebijakan moneter syariah dapat berfungsi secara optimal. </w:t>
      </w:r>
    </w:p>
    <w:p w14:paraId="1D2686BF" w14:textId="77777777" w:rsidR="00AD484C" w:rsidRPr="00AD484C" w:rsidRDefault="00CC6F83"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Secara keseluruhan, kebijakan moneter yang berbasis syariah memiliki potensi besar dalam mendorong pertumbuhan keuangan syariah di Indonesia. Dengan langkah-langkah yang tepat untuk mengatasi tantangan yang ada, kebijakan ini dapat menciptakan lingkungan keuangan yang lebih inklusif, stabil, dan berkelanjutan, yang tidak hanya menguntungkan masyarakat Muslim, tetapi juga seluruh masyarakat Indonesia. Dengan demikian, kebijakan moneter syariah dapat menjadi solusi yang efektif dalam mendorong pertumbuhan sektor keuangan syariah dan mencapai tujuan ekonomi yang lebih luas.</w:t>
      </w:r>
    </w:p>
    <w:p w14:paraId="1CD2FEC0" w14:textId="370D87FB" w:rsidR="00577837" w:rsidRPr="00AD484C" w:rsidRDefault="00B87FFA" w:rsidP="003228F0">
      <w:pPr>
        <w:pStyle w:val="ListParagraph"/>
        <w:spacing w:line="240" w:lineRule="auto"/>
        <w:ind w:left="-720" w:firstLine="568"/>
        <w:jc w:val="both"/>
        <w:rPr>
          <w:rFonts w:ascii="Times New Roman" w:hAnsi="Times New Roman" w:cs="Times New Roman"/>
          <w:sz w:val="24"/>
          <w:szCs w:val="24"/>
        </w:rPr>
      </w:pPr>
      <w:r w:rsidRPr="00AD484C">
        <w:rPr>
          <w:rFonts w:ascii="Times New Roman" w:hAnsi="Times New Roman" w:cs="Times New Roman"/>
          <w:sz w:val="24"/>
          <w:szCs w:val="24"/>
        </w:rPr>
        <w:t>Sebagai kesimpulan, kebijakan moneter yang berbasis syariah dapat memainkan peran kunci dalam mendorong pertumbuhan keuangan syariah di Indonesia. Dengan pemahaman yang lebih baik, regulasi yang mendukung, dan infrastruktur yang berkembang, kebijakan moneter syariah dapat berfungsi sebagai alat yang efektif untuk menciptakan sistem keuangan yang inklusif, berkelanjutan, dan stabil. Hal ini tidak hanya akan menguntungkan masyarakat Muslim, tetapi juga memberikan dampak positif bagi seluruh lapisan masyarakat, dengan menciptakan peluang ekonomi yang lebih adil dan merata. Oleh karena itu, penerapan kebijakan moneter berbasis syariah bukan hanya sebuah solusi praktis, tetapi juga merupakan upaya jangka panjang untuk mewujudkan sistem keuangan yang lebih baik dan berkeadilan.</w:t>
      </w:r>
    </w:p>
    <w:p w14:paraId="3B6FB9A5" w14:textId="77777777" w:rsidR="002C3B97" w:rsidRPr="00AD484C" w:rsidRDefault="002C3B97" w:rsidP="003228F0">
      <w:pPr>
        <w:spacing w:line="240" w:lineRule="auto"/>
        <w:jc w:val="both"/>
        <w:rPr>
          <w:rFonts w:ascii="Times New Roman" w:hAnsi="Times New Roman" w:cs="Times New Roman"/>
          <w:sz w:val="24"/>
          <w:szCs w:val="24"/>
        </w:rPr>
      </w:pPr>
    </w:p>
    <w:p w14:paraId="4831B9A5" w14:textId="77777777" w:rsidR="002C3B97" w:rsidRDefault="002C3B97" w:rsidP="007364FC">
      <w:pPr>
        <w:spacing w:line="240" w:lineRule="auto"/>
        <w:ind w:left="-426"/>
        <w:jc w:val="both"/>
        <w:rPr>
          <w:rFonts w:ascii="Times New Roman" w:hAnsi="Times New Roman" w:cs="Times New Roman"/>
          <w:b/>
          <w:bCs/>
          <w:sz w:val="24"/>
          <w:szCs w:val="24"/>
        </w:rPr>
        <w:sectPr w:rsidR="002C3B97" w:rsidSect="006405E0">
          <w:type w:val="continuous"/>
          <w:pgSz w:w="11906" w:h="16838" w:code="9"/>
          <w:pgMar w:top="1134" w:right="851" w:bottom="1281" w:left="851" w:header="709" w:footer="709" w:gutter="851"/>
          <w:cols w:space="1419"/>
          <w:docGrid w:linePitch="360"/>
        </w:sectPr>
      </w:pPr>
    </w:p>
    <w:p w14:paraId="68939F68" w14:textId="373CEA44" w:rsidR="00445135" w:rsidRPr="00AD484C" w:rsidRDefault="00445135" w:rsidP="003228F0">
      <w:pPr>
        <w:spacing w:line="240" w:lineRule="auto"/>
        <w:ind w:left="-720"/>
        <w:jc w:val="both"/>
        <w:rPr>
          <w:rFonts w:ascii="Times New Roman" w:hAnsi="Times New Roman" w:cs="Times New Roman"/>
          <w:b/>
          <w:bCs/>
          <w:sz w:val="24"/>
          <w:szCs w:val="24"/>
        </w:rPr>
      </w:pPr>
      <w:r w:rsidRPr="00AD484C">
        <w:rPr>
          <w:rFonts w:ascii="Times New Roman" w:hAnsi="Times New Roman" w:cs="Times New Roman"/>
          <w:b/>
          <w:bCs/>
          <w:sz w:val="24"/>
          <w:szCs w:val="24"/>
        </w:rPr>
        <w:t>D</w:t>
      </w:r>
      <w:r w:rsidR="008A27B1" w:rsidRPr="00AD484C">
        <w:rPr>
          <w:rFonts w:ascii="Times New Roman" w:hAnsi="Times New Roman" w:cs="Times New Roman"/>
          <w:b/>
          <w:bCs/>
          <w:sz w:val="24"/>
          <w:szCs w:val="24"/>
        </w:rPr>
        <w:t>aftar Pustaka</w:t>
      </w:r>
    </w:p>
    <w:p w14:paraId="622AAACD" w14:textId="77777777" w:rsidR="002C3B97" w:rsidRDefault="002C3B97" w:rsidP="00A41B52">
      <w:pPr>
        <w:widowControl w:val="0"/>
        <w:autoSpaceDE w:val="0"/>
        <w:autoSpaceDN w:val="0"/>
        <w:adjustRightInd w:val="0"/>
        <w:spacing w:line="240" w:lineRule="auto"/>
        <w:ind w:left="480" w:hanging="480"/>
        <w:jc w:val="both"/>
        <w:rPr>
          <w:rFonts w:ascii="Times New Roman" w:hAnsi="Times New Roman" w:cs="Times New Roman"/>
          <w:sz w:val="20"/>
          <w:szCs w:val="20"/>
        </w:rPr>
        <w:sectPr w:rsidR="002C3B97" w:rsidSect="006405E0">
          <w:type w:val="continuous"/>
          <w:pgSz w:w="11906" w:h="16838" w:code="9"/>
          <w:pgMar w:top="1134" w:right="851" w:bottom="1281" w:left="851" w:header="709" w:footer="709" w:gutter="851"/>
          <w:cols w:space="1419"/>
          <w:docGrid w:linePitch="360"/>
        </w:sectPr>
      </w:pPr>
    </w:p>
    <w:p w14:paraId="41DAF902" w14:textId="4493481D" w:rsidR="00331FF3" w:rsidRPr="00331FF3" w:rsidRDefault="002E1CB2"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577837">
        <w:rPr>
          <w:rFonts w:ascii="Times New Roman" w:hAnsi="Times New Roman" w:cs="Times New Roman"/>
          <w:sz w:val="20"/>
          <w:szCs w:val="20"/>
        </w:rPr>
        <w:fldChar w:fldCharType="begin" w:fldLock="1"/>
      </w:r>
      <w:r w:rsidRPr="00577837">
        <w:rPr>
          <w:rFonts w:ascii="Times New Roman" w:hAnsi="Times New Roman" w:cs="Times New Roman"/>
          <w:sz w:val="20"/>
          <w:szCs w:val="20"/>
        </w:rPr>
        <w:instrText xml:space="preserve">ADDIN Mendeley Bibliography CSL_BIBLIOGRAPHY </w:instrText>
      </w:r>
      <w:r w:rsidRPr="00577837">
        <w:rPr>
          <w:rFonts w:ascii="Times New Roman" w:hAnsi="Times New Roman" w:cs="Times New Roman"/>
          <w:sz w:val="20"/>
          <w:szCs w:val="20"/>
        </w:rPr>
        <w:fldChar w:fldCharType="separate"/>
      </w:r>
      <w:r w:rsidR="00331FF3" w:rsidRPr="00331FF3">
        <w:rPr>
          <w:rFonts w:ascii="Times New Roman" w:hAnsi="Times New Roman" w:cs="Times New Roman"/>
          <w:noProof/>
          <w:kern w:val="0"/>
          <w:sz w:val="20"/>
          <w:szCs w:val="24"/>
        </w:rPr>
        <w:t xml:space="preserve">Dini Abdianti, Anisa Restu, &amp; Sholahuddin Al Ayyubi. (2023). Konsep Kebijakan Moneter Dalam Perspektif Ekonomi Islam. </w:t>
      </w:r>
      <w:r w:rsidR="00331FF3" w:rsidRPr="00331FF3">
        <w:rPr>
          <w:rFonts w:ascii="Times New Roman" w:hAnsi="Times New Roman" w:cs="Times New Roman"/>
          <w:i/>
          <w:iCs/>
          <w:noProof/>
          <w:kern w:val="0"/>
          <w:sz w:val="20"/>
          <w:szCs w:val="24"/>
        </w:rPr>
        <w:t>Jurnal Kewirausahaan Dan Manajemen Bisnis: Cuan</w:t>
      </w:r>
      <w:r w:rsidR="00331FF3" w:rsidRPr="00331FF3">
        <w:rPr>
          <w:rFonts w:ascii="Times New Roman" w:hAnsi="Times New Roman" w:cs="Times New Roman"/>
          <w:noProof/>
          <w:kern w:val="0"/>
          <w:sz w:val="20"/>
          <w:szCs w:val="24"/>
        </w:rPr>
        <w:t xml:space="preserve">, </w:t>
      </w:r>
      <w:r w:rsidR="00331FF3" w:rsidRPr="00331FF3">
        <w:rPr>
          <w:rFonts w:ascii="Times New Roman" w:hAnsi="Times New Roman" w:cs="Times New Roman"/>
          <w:i/>
          <w:iCs/>
          <w:noProof/>
          <w:kern w:val="0"/>
          <w:sz w:val="20"/>
          <w:szCs w:val="24"/>
        </w:rPr>
        <w:t>1</w:t>
      </w:r>
      <w:r w:rsidR="00331FF3" w:rsidRPr="00331FF3">
        <w:rPr>
          <w:rFonts w:ascii="Times New Roman" w:hAnsi="Times New Roman" w:cs="Times New Roman"/>
          <w:noProof/>
          <w:kern w:val="0"/>
          <w:sz w:val="20"/>
          <w:szCs w:val="24"/>
        </w:rPr>
        <w:t>(2), 106–120. https://doi.org/10.59603/cuan.v1i2.20</w:t>
      </w:r>
    </w:p>
    <w:p w14:paraId="088FA563" w14:textId="77777777"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Febrianti, P. F., Kuncoro, M. F. T., Irawati, D., Madura, U. T., Kamal, K., &amp; Timur, J. (2024). </w:t>
      </w:r>
      <w:r w:rsidRPr="00331FF3">
        <w:rPr>
          <w:rFonts w:ascii="Times New Roman" w:hAnsi="Times New Roman" w:cs="Times New Roman"/>
          <w:i/>
          <w:iCs/>
          <w:noProof/>
          <w:kern w:val="0"/>
          <w:sz w:val="20"/>
          <w:szCs w:val="24"/>
        </w:rPr>
        <w:t>Analisis Pengaruh Kebijakan Moneter Terhadap Stabilitas Perbankan Syari ’ Ah Di</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3</w:t>
      </w:r>
      <w:r w:rsidRPr="00331FF3">
        <w:rPr>
          <w:rFonts w:ascii="Times New Roman" w:hAnsi="Times New Roman" w:cs="Times New Roman"/>
          <w:noProof/>
          <w:kern w:val="0"/>
          <w:sz w:val="20"/>
          <w:szCs w:val="24"/>
        </w:rPr>
        <w:t>(2).</w:t>
      </w:r>
    </w:p>
    <w:p w14:paraId="09C86A69" w14:textId="77777777"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Madura, U. T. (2024). </w:t>
      </w:r>
      <w:r w:rsidRPr="00331FF3">
        <w:rPr>
          <w:rFonts w:ascii="Times New Roman" w:hAnsi="Times New Roman" w:cs="Times New Roman"/>
          <w:i/>
          <w:iCs/>
          <w:noProof/>
          <w:kern w:val="0"/>
          <w:sz w:val="20"/>
          <w:szCs w:val="24"/>
        </w:rPr>
        <w:t>Penerapan Kebijakan Moneter Islam Pada Sistem</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2</w:t>
      </w:r>
      <w:r w:rsidRPr="00331FF3">
        <w:rPr>
          <w:rFonts w:ascii="Times New Roman" w:hAnsi="Times New Roman" w:cs="Times New Roman"/>
          <w:noProof/>
          <w:kern w:val="0"/>
          <w:sz w:val="20"/>
          <w:szCs w:val="24"/>
        </w:rPr>
        <w:t>(5).</w:t>
      </w:r>
    </w:p>
    <w:p w14:paraId="68A6EE65" w14:textId="77777777"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Makassar, U. F., Latif, A., Wonggole, D. U., Palete, S., &amp; Makassar, U. F. (2024). </w:t>
      </w:r>
      <w:r w:rsidRPr="00331FF3">
        <w:rPr>
          <w:rFonts w:ascii="Times New Roman" w:hAnsi="Times New Roman" w:cs="Times New Roman"/>
          <w:i/>
          <w:iCs/>
          <w:noProof/>
          <w:kern w:val="0"/>
          <w:sz w:val="20"/>
          <w:szCs w:val="24"/>
        </w:rPr>
        <w:t>Keywords :</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5</w:t>
      </w:r>
      <w:r w:rsidRPr="00331FF3">
        <w:rPr>
          <w:rFonts w:ascii="Times New Roman" w:hAnsi="Times New Roman" w:cs="Times New Roman"/>
          <w:noProof/>
          <w:kern w:val="0"/>
          <w:sz w:val="20"/>
          <w:szCs w:val="24"/>
        </w:rPr>
        <w:t>(April), 14–27.</w:t>
      </w:r>
    </w:p>
    <w:p w14:paraId="7B075CB6" w14:textId="38A5D347" w:rsidR="00AD484C"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Meydina, S. H., Sya’bani, A., &amp; Maulida, N. A. (2024). Efektifitas Pada Kebijakan Sistem Moneter Dalam islam. </w:t>
      </w:r>
      <w:r w:rsidRPr="00331FF3">
        <w:rPr>
          <w:rFonts w:ascii="Times New Roman" w:hAnsi="Times New Roman" w:cs="Times New Roman"/>
          <w:i/>
          <w:iCs/>
          <w:noProof/>
          <w:kern w:val="0"/>
          <w:sz w:val="20"/>
          <w:szCs w:val="24"/>
        </w:rPr>
        <w:t>Jurnal Ilmiah Ekonomi Dan Manajemen (JIEM)</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2</w:t>
      </w:r>
      <w:r w:rsidRPr="00331FF3">
        <w:rPr>
          <w:rFonts w:ascii="Times New Roman" w:hAnsi="Times New Roman" w:cs="Times New Roman"/>
          <w:noProof/>
          <w:kern w:val="0"/>
          <w:sz w:val="20"/>
          <w:szCs w:val="24"/>
        </w:rPr>
        <w:t>(1)</w:t>
      </w:r>
      <w:r w:rsidR="00AD484C">
        <w:rPr>
          <w:rFonts w:ascii="Times New Roman" w:hAnsi="Times New Roman" w:cs="Times New Roman"/>
          <w:noProof/>
          <w:kern w:val="0"/>
          <w:sz w:val="20"/>
          <w:szCs w:val="24"/>
        </w:rPr>
        <w:t xml:space="preserve">, </w:t>
      </w:r>
      <w:r w:rsidRPr="00331FF3">
        <w:rPr>
          <w:rFonts w:ascii="Times New Roman" w:hAnsi="Times New Roman" w:cs="Times New Roman"/>
          <w:noProof/>
          <w:kern w:val="0"/>
          <w:sz w:val="20"/>
          <w:szCs w:val="24"/>
        </w:rPr>
        <w:t>689–693.</w:t>
      </w:r>
    </w:p>
    <w:p w14:paraId="1C17DC6B" w14:textId="3993ED67"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Mutmainah, A., Khairiyah, D. C., Nasution, H. R., Sambo, R. A., &amp; Cahya, S. D. (2024). Kajian Peran Kebijakan Moneter Syariah dalam Mendorong Pertumbuhan Ekonomi Indonesia. </w:t>
      </w:r>
      <w:r w:rsidRPr="00331FF3">
        <w:rPr>
          <w:rFonts w:ascii="Times New Roman" w:hAnsi="Times New Roman" w:cs="Times New Roman"/>
          <w:i/>
          <w:iCs/>
          <w:noProof/>
          <w:kern w:val="0"/>
          <w:sz w:val="20"/>
          <w:szCs w:val="24"/>
        </w:rPr>
        <w:t>Indonesian Research Journal on Education</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4</w:t>
      </w:r>
      <w:r w:rsidRPr="00331FF3">
        <w:rPr>
          <w:rFonts w:ascii="Times New Roman" w:hAnsi="Times New Roman" w:cs="Times New Roman"/>
          <w:noProof/>
          <w:kern w:val="0"/>
          <w:sz w:val="20"/>
          <w:szCs w:val="24"/>
        </w:rPr>
        <w:t>(2), 567–573. https://doi.org/10.31004/irje.v4i2.613</w:t>
      </w:r>
    </w:p>
    <w:p w14:paraId="5A6FB2FC" w14:textId="77777777"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Ningrum, D. P., Hasanah, S. A., Zaroh, Y., &amp; Firdaus, N. (2024). Pengaruh Kebijakan Moneter Syariah Terhadap Stabilitas Mata Uang. </w:t>
      </w:r>
      <w:r w:rsidRPr="00331FF3">
        <w:rPr>
          <w:rFonts w:ascii="Times New Roman" w:hAnsi="Times New Roman" w:cs="Times New Roman"/>
          <w:i/>
          <w:iCs/>
          <w:noProof/>
          <w:kern w:val="0"/>
          <w:sz w:val="20"/>
          <w:szCs w:val="24"/>
        </w:rPr>
        <w:t>Jurnal Media Akademik</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2</w:t>
      </w:r>
      <w:r w:rsidRPr="00331FF3">
        <w:rPr>
          <w:rFonts w:ascii="Times New Roman" w:hAnsi="Times New Roman" w:cs="Times New Roman"/>
          <w:noProof/>
          <w:kern w:val="0"/>
          <w:sz w:val="20"/>
          <w:szCs w:val="24"/>
        </w:rPr>
        <w:t>(6), 3031–5220.</w:t>
      </w:r>
    </w:p>
    <w:p w14:paraId="0A325DA5" w14:textId="77777777"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 xml:space="preserve">Ulum, F. (2018). Progresifitas Regulasi Keuangan Syariah Di Indonesia. </w:t>
      </w:r>
      <w:r w:rsidRPr="00331FF3">
        <w:rPr>
          <w:rFonts w:ascii="Times New Roman" w:hAnsi="Times New Roman" w:cs="Times New Roman"/>
          <w:i/>
          <w:iCs/>
          <w:noProof/>
          <w:kern w:val="0"/>
          <w:sz w:val="20"/>
          <w:szCs w:val="24"/>
        </w:rPr>
        <w:t>Al-Daulah: Jurnal Hukum Dan Perundangan Islam</w:t>
      </w:r>
      <w:r w:rsidRPr="00331FF3">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7</w:t>
      </w:r>
      <w:r w:rsidRPr="00331FF3">
        <w:rPr>
          <w:rFonts w:ascii="Times New Roman" w:hAnsi="Times New Roman" w:cs="Times New Roman"/>
          <w:noProof/>
          <w:kern w:val="0"/>
          <w:sz w:val="20"/>
          <w:szCs w:val="24"/>
        </w:rPr>
        <w:t>(2), 419–443. https://doi.org/10.15642/ad.2017.7.2.419-443</w:t>
      </w:r>
    </w:p>
    <w:p w14:paraId="5E15172B" w14:textId="77777777" w:rsidR="002C3B97"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kern w:val="0"/>
          <w:sz w:val="20"/>
          <w:szCs w:val="24"/>
        </w:rPr>
      </w:pPr>
      <w:r w:rsidRPr="00331FF3">
        <w:rPr>
          <w:rFonts w:ascii="Times New Roman" w:hAnsi="Times New Roman" w:cs="Times New Roman"/>
          <w:noProof/>
          <w:kern w:val="0"/>
          <w:sz w:val="20"/>
          <w:szCs w:val="24"/>
        </w:rPr>
        <w:t>Wahyunitasar, E. D., Sopingi, I., &amp; Musfiroh, A. (2023). Analisis Peran Lembaga Keuangan</w:t>
      </w:r>
    </w:p>
    <w:p w14:paraId="493F2C3A" w14:textId="3C59DA36" w:rsidR="00331FF3" w:rsidRPr="00331FF3" w:rsidRDefault="00331FF3" w:rsidP="00C530A6">
      <w:pPr>
        <w:widowControl w:val="0"/>
        <w:autoSpaceDE w:val="0"/>
        <w:autoSpaceDN w:val="0"/>
        <w:adjustRightInd w:val="0"/>
        <w:spacing w:line="240" w:lineRule="auto"/>
        <w:ind w:left="-270" w:hanging="450"/>
        <w:jc w:val="both"/>
        <w:rPr>
          <w:rFonts w:ascii="Times New Roman" w:hAnsi="Times New Roman" w:cs="Times New Roman"/>
          <w:noProof/>
          <w:sz w:val="20"/>
        </w:rPr>
      </w:pPr>
      <w:r w:rsidRPr="00331FF3">
        <w:rPr>
          <w:rFonts w:ascii="Times New Roman" w:hAnsi="Times New Roman" w:cs="Times New Roman"/>
          <w:noProof/>
          <w:kern w:val="0"/>
          <w:sz w:val="20"/>
          <w:szCs w:val="24"/>
        </w:rPr>
        <w:t xml:space="preserve">Syariah Dalam Perekonomian Indonesia. </w:t>
      </w:r>
      <w:r w:rsidRPr="00331FF3">
        <w:rPr>
          <w:rFonts w:ascii="Times New Roman" w:hAnsi="Times New Roman" w:cs="Times New Roman"/>
          <w:i/>
          <w:iCs/>
          <w:noProof/>
          <w:kern w:val="0"/>
          <w:sz w:val="20"/>
          <w:szCs w:val="24"/>
        </w:rPr>
        <w:t>JIES Journal of Islamic Economics Studies</w:t>
      </w:r>
      <w:r w:rsidR="002C3B97">
        <w:rPr>
          <w:rFonts w:ascii="Times New Roman" w:hAnsi="Times New Roman" w:cs="Times New Roman"/>
          <w:noProof/>
          <w:kern w:val="0"/>
          <w:sz w:val="20"/>
          <w:szCs w:val="24"/>
        </w:rPr>
        <w:t xml:space="preserve"> </w:t>
      </w:r>
      <w:r w:rsidRPr="00331FF3">
        <w:rPr>
          <w:rFonts w:ascii="Times New Roman" w:hAnsi="Times New Roman" w:cs="Times New Roman"/>
          <w:i/>
          <w:iCs/>
          <w:noProof/>
          <w:kern w:val="0"/>
          <w:sz w:val="20"/>
          <w:szCs w:val="24"/>
        </w:rPr>
        <w:t>volume.2,</w:t>
      </w:r>
      <w:r w:rsidRPr="00331FF3">
        <w:rPr>
          <w:rFonts w:ascii="Times New Roman" w:hAnsi="Times New Roman" w:cs="Times New Roman"/>
          <w:noProof/>
          <w:kern w:val="0"/>
          <w:sz w:val="20"/>
          <w:szCs w:val="24"/>
        </w:rPr>
        <w:t>(2), 103–114.</w:t>
      </w:r>
    </w:p>
    <w:p w14:paraId="03B8B85B" w14:textId="77777777" w:rsidR="00616F93" w:rsidRDefault="002E1CB2" w:rsidP="00A41B52">
      <w:pPr>
        <w:spacing w:line="240" w:lineRule="auto"/>
        <w:ind w:left="720" w:hanging="720"/>
        <w:jc w:val="both"/>
        <w:rPr>
          <w:rFonts w:ascii="Times New Roman" w:hAnsi="Times New Roman" w:cs="Times New Roman"/>
          <w:sz w:val="20"/>
          <w:szCs w:val="20"/>
        </w:rPr>
        <w:sectPr w:rsidR="00616F93" w:rsidSect="006405E0">
          <w:type w:val="continuous"/>
          <w:pgSz w:w="11906" w:h="16838" w:code="9"/>
          <w:pgMar w:top="1134" w:right="851" w:bottom="1281" w:left="851" w:header="709" w:footer="709" w:gutter="851"/>
          <w:cols w:space="1419"/>
          <w:docGrid w:linePitch="360"/>
        </w:sectPr>
      </w:pPr>
      <w:r w:rsidRPr="00577837">
        <w:rPr>
          <w:rFonts w:ascii="Times New Roman" w:hAnsi="Times New Roman" w:cs="Times New Roman"/>
          <w:sz w:val="20"/>
          <w:szCs w:val="20"/>
        </w:rPr>
        <w:fldChar w:fldCharType="end"/>
      </w:r>
    </w:p>
    <w:p w14:paraId="1923B3FD" w14:textId="4E576BC6" w:rsidR="00445135" w:rsidRPr="00577837" w:rsidRDefault="00445135" w:rsidP="009930F2">
      <w:pPr>
        <w:spacing w:line="240" w:lineRule="auto"/>
        <w:ind w:left="720" w:hanging="720"/>
        <w:jc w:val="both"/>
        <w:rPr>
          <w:rFonts w:ascii="Times New Roman" w:hAnsi="Times New Roman" w:cs="Times New Roman"/>
          <w:sz w:val="20"/>
          <w:szCs w:val="20"/>
        </w:rPr>
      </w:pPr>
    </w:p>
    <w:p w14:paraId="22032D3F" w14:textId="77777777" w:rsidR="00445135" w:rsidRPr="00577837" w:rsidRDefault="00445135" w:rsidP="009930F2">
      <w:pPr>
        <w:spacing w:line="240" w:lineRule="auto"/>
        <w:jc w:val="both"/>
        <w:rPr>
          <w:rFonts w:ascii="Times New Roman" w:hAnsi="Times New Roman" w:cs="Times New Roman"/>
          <w:sz w:val="20"/>
          <w:szCs w:val="20"/>
        </w:rPr>
      </w:pPr>
    </w:p>
    <w:p w14:paraId="29F3EE28" w14:textId="77777777" w:rsidR="006352F6" w:rsidRPr="00577837" w:rsidRDefault="006352F6" w:rsidP="009930F2">
      <w:pPr>
        <w:pStyle w:val="ListParagraph"/>
        <w:spacing w:line="240" w:lineRule="auto"/>
        <w:ind w:left="1440"/>
        <w:jc w:val="both"/>
        <w:rPr>
          <w:rFonts w:ascii="Times New Roman" w:hAnsi="Times New Roman" w:cs="Times New Roman"/>
          <w:sz w:val="20"/>
          <w:szCs w:val="20"/>
        </w:rPr>
      </w:pPr>
    </w:p>
    <w:p w14:paraId="35D7D128" w14:textId="77777777" w:rsidR="006352F6" w:rsidRPr="00577837" w:rsidRDefault="006352F6" w:rsidP="009930F2">
      <w:pPr>
        <w:pStyle w:val="ListParagraph"/>
        <w:spacing w:line="240" w:lineRule="auto"/>
        <w:ind w:left="1440"/>
        <w:jc w:val="both"/>
        <w:rPr>
          <w:rFonts w:ascii="Times New Roman" w:hAnsi="Times New Roman" w:cs="Times New Roman"/>
          <w:sz w:val="20"/>
          <w:szCs w:val="20"/>
        </w:rPr>
      </w:pPr>
    </w:p>
    <w:p w14:paraId="358FA7E2" w14:textId="77777777" w:rsidR="00927AD3" w:rsidRPr="00577837" w:rsidRDefault="00927AD3" w:rsidP="009930F2">
      <w:pPr>
        <w:spacing w:line="240" w:lineRule="auto"/>
        <w:jc w:val="both"/>
        <w:rPr>
          <w:rFonts w:ascii="Times New Roman" w:hAnsi="Times New Roman" w:cs="Times New Roman"/>
          <w:sz w:val="20"/>
          <w:szCs w:val="20"/>
        </w:rPr>
      </w:pPr>
    </w:p>
    <w:p w14:paraId="4DE88F04" w14:textId="77777777" w:rsidR="00C45BB6" w:rsidRPr="00577837" w:rsidRDefault="00C45BB6" w:rsidP="009930F2">
      <w:pPr>
        <w:spacing w:line="240" w:lineRule="auto"/>
        <w:ind w:firstLine="720"/>
        <w:jc w:val="both"/>
        <w:rPr>
          <w:rFonts w:ascii="Times New Roman" w:hAnsi="Times New Roman" w:cs="Times New Roman"/>
          <w:sz w:val="20"/>
          <w:szCs w:val="20"/>
        </w:rPr>
      </w:pPr>
    </w:p>
    <w:sectPr w:rsidR="00C45BB6" w:rsidRPr="00577837" w:rsidSect="006405E0">
      <w:type w:val="continuous"/>
      <w:pgSz w:w="11906" w:h="16838" w:code="9"/>
      <w:pgMar w:top="1134" w:right="851" w:bottom="128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ED483" w14:textId="77777777" w:rsidR="001E1DC6" w:rsidRDefault="001E1DC6" w:rsidP="002E1CB2">
      <w:pPr>
        <w:spacing w:after="0" w:line="240" w:lineRule="auto"/>
      </w:pPr>
      <w:r>
        <w:separator/>
      </w:r>
    </w:p>
  </w:endnote>
  <w:endnote w:type="continuationSeparator" w:id="0">
    <w:p w14:paraId="44142E7E" w14:textId="77777777" w:rsidR="001E1DC6" w:rsidRDefault="001E1DC6" w:rsidP="002E1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F46F4" w14:textId="77777777" w:rsidR="002333BA" w:rsidRDefault="002333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390913"/>
      <w:docPartObj>
        <w:docPartGallery w:val="Page Numbers (Bottom of Page)"/>
        <w:docPartUnique/>
      </w:docPartObj>
    </w:sdtPr>
    <w:sdtEndPr>
      <w:rPr>
        <w:noProof/>
      </w:rPr>
    </w:sdtEndPr>
    <w:sdtContent>
      <w:p w14:paraId="1BF54AD3" w14:textId="3175B54D" w:rsidR="002333BA" w:rsidRDefault="002333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C2C3BB" w14:textId="77777777" w:rsidR="002333BA" w:rsidRDefault="002333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C3F0" w14:textId="77777777" w:rsidR="002333BA" w:rsidRDefault="00233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AEF2E" w14:textId="77777777" w:rsidR="001E1DC6" w:rsidRDefault="001E1DC6" w:rsidP="002E1CB2">
      <w:pPr>
        <w:spacing w:after="0" w:line="240" w:lineRule="auto"/>
      </w:pPr>
      <w:r>
        <w:separator/>
      </w:r>
    </w:p>
  </w:footnote>
  <w:footnote w:type="continuationSeparator" w:id="0">
    <w:p w14:paraId="2A2225A5" w14:textId="77777777" w:rsidR="001E1DC6" w:rsidRDefault="001E1DC6" w:rsidP="002E1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EE0E" w14:textId="77777777" w:rsidR="002333BA" w:rsidRDefault="00233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B2511" w14:textId="77777777" w:rsidR="002333BA" w:rsidRDefault="002333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0FB2" w14:textId="77777777" w:rsidR="002333BA" w:rsidRDefault="00233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27B13"/>
    <w:multiLevelType w:val="hybridMultilevel"/>
    <w:tmpl w:val="CA6C1B6A"/>
    <w:lvl w:ilvl="0" w:tplc="F2CE93BA">
      <w:start w:val="1"/>
      <w:numFmt w:val="decimal"/>
      <w:lvlText w:val="%1."/>
      <w:lvlJc w:val="left"/>
      <w:pPr>
        <w:ind w:left="2912" w:hanging="360"/>
      </w:pPr>
      <w:rPr>
        <w:rFonts w:hint="default"/>
      </w:rPr>
    </w:lvl>
    <w:lvl w:ilvl="1" w:tplc="04210019" w:tentative="1">
      <w:start w:val="1"/>
      <w:numFmt w:val="lowerLetter"/>
      <w:lvlText w:val="%2."/>
      <w:lvlJc w:val="left"/>
      <w:pPr>
        <w:ind w:left="3632" w:hanging="360"/>
      </w:pPr>
    </w:lvl>
    <w:lvl w:ilvl="2" w:tplc="0421001B" w:tentative="1">
      <w:start w:val="1"/>
      <w:numFmt w:val="lowerRoman"/>
      <w:lvlText w:val="%3."/>
      <w:lvlJc w:val="right"/>
      <w:pPr>
        <w:ind w:left="4352" w:hanging="180"/>
      </w:pPr>
    </w:lvl>
    <w:lvl w:ilvl="3" w:tplc="0421000F" w:tentative="1">
      <w:start w:val="1"/>
      <w:numFmt w:val="decimal"/>
      <w:lvlText w:val="%4."/>
      <w:lvlJc w:val="left"/>
      <w:pPr>
        <w:ind w:left="5072" w:hanging="360"/>
      </w:pPr>
    </w:lvl>
    <w:lvl w:ilvl="4" w:tplc="04210019" w:tentative="1">
      <w:start w:val="1"/>
      <w:numFmt w:val="lowerLetter"/>
      <w:lvlText w:val="%5."/>
      <w:lvlJc w:val="left"/>
      <w:pPr>
        <w:ind w:left="5792" w:hanging="360"/>
      </w:pPr>
    </w:lvl>
    <w:lvl w:ilvl="5" w:tplc="0421001B" w:tentative="1">
      <w:start w:val="1"/>
      <w:numFmt w:val="lowerRoman"/>
      <w:lvlText w:val="%6."/>
      <w:lvlJc w:val="right"/>
      <w:pPr>
        <w:ind w:left="6512" w:hanging="180"/>
      </w:pPr>
    </w:lvl>
    <w:lvl w:ilvl="6" w:tplc="0421000F" w:tentative="1">
      <w:start w:val="1"/>
      <w:numFmt w:val="decimal"/>
      <w:lvlText w:val="%7."/>
      <w:lvlJc w:val="left"/>
      <w:pPr>
        <w:ind w:left="7232" w:hanging="360"/>
      </w:pPr>
    </w:lvl>
    <w:lvl w:ilvl="7" w:tplc="04210019" w:tentative="1">
      <w:start w:val="1"/>
      <w:numFmt w:val="lowerLetter"/>
      <w:lvlText w:val="%8."/>
      <w:lvlJc w:val="left"/>
      <w:pPr>
        <w:ind w:left="7952" w:hanging="360"/>
      </w:pPr>
    </w:lvl>
    <w:lvl w:ilvl="8" w:tplc="0421001B" w:tentative="1">
      <w:start w:val="1"/>
      <w:numFmt w:val="lowerRoman"/>
      <w:lvlText w:val="%9."/>
      <w:lvlJc w:val="right"/>
      <w:pPr>
        <w:ind w:left="8672" w:hanging="180"/>
      </w:pPr>
    </w:lvl>
  </w:abstractNum>
  <w:abstractNum w:abstractNumId="1" w15:restartNumberingAfterBreak="0">
    <w:nsid w:val="150A5B72"/>
    <w:multiLevelType w:val="hybridMultilevel"/>
    <w:tmpl w:val="22BAB376"/>
    <w:lvl w:ilvl="0" w:tplc="8FB0B4D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DF57458"/>
    <w:multiLevelType w:val="hybridMultilevel"/>
    <w:tmpl w:val="D048D868"/>
    <w:lvl w:ilvl="0" w:tplc="9642E06A">
      <w:start w:val="1"/>
      <w:numFmt w:val="decimal"/>
      <w:lvlText w:val="%1."/>
      <w:lvlJc w:val="left"/>
      <w:pPr>
        <w:ind w:left="786" w:hanging="360"/>
      </w:pPr>
      <w:rPr>
        <w:rFonts w:hint="default"/>
        <w:b/>
        <w:bCs/>
        <w:sz w:val="24"/>
        <w:szCs w:val="24"/>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22F00795"/>
    <w:multiLevelType w:val="multilevel"/>
    <w:tmpl w:val="4B5457DC"/>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C11B60"/>
    <w:multiLevelType w:val="multilevel"/>
    <w:tmpl w:val="E1FAC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A4CE4"/>
    <w:multiLevelType w:val="hybridMultilevel"/>
    <w:tmpl w:val="3BE65B82"/>
    <w:lvl w:ilvl="0" w:tplc="2716C3A4">
      <w:start w:val="1"/>
      <w:numFmt w:val="upperLetter"/>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6C22A56"/>
    <w:multiLevelType w:val="hybridMultilevel"/>
    <w:tmpl w:val="784215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050050"/>
    <w:multiLevelType w:val="hybridMultilevel"/>
    <w:tmpl w:val="7F4855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8AD387D"/>
    <w:multiLevelType w:val="hybridMultilevel"/>
    <w:tmpl w:val="CD06EDC8"/>
    <w:lvl w:ilvl="0" w:tplc="A914F8E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2D1421A2"/>
    <w:multiLevelType w:val="hybridMultilevel"/>
    <w:tmpl w:val="F162F5CE"/>
    <w:lvl w:ilvl="0" w:tplc="1FFEB98A">
      <w:start w:val="1"/>
      <w:numFmt w:val="decimal"/>
      <w:lvlText w:val="1.%1"/>
      <w:lvlJc w:val="left"/>
      <w:pPr>
        <w:ind w:left="720" w:hanging="360"/>
      </w:pPr>
      <w:rPr>
        <w:rFonts w:hint="default"/>
      </w:rPr>
    </w:lvl>
    <w:lvl w:ilvl="1" w:tplc="1FFEB98A">
      <w:start w:val="1"/>
      <w:numFmt w:val="decimal"/>
      <w:lvlText w:val="1.%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D1E12A6"/>
    <w:multiLevelType w:val="hybridMultilevel"/>
    <w:tmpl w:val="32CC21AC"/>
    <w:lvl w:ilvl="0" w:tplc="56CA1C62">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1" w15:restartNumberingAfterBreak="0">
    <w:nsid w:val="2F9B0D0A"/>
    <w:multiLevelType w:val="hybridMultilevel"/>
    <w:tmpl w:val="505EA6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2010DB4"/>
    <w:multiLevelType w:val="multilevel"/>
    <w:tmpl w:val="10665A1A"/>
    <w:lvl w:ilvl="0">
      <w:start w:val="2"/>
      <w:numFmt w:val="decimal"/>
      <w:lvlText w:val="%1"/>
      <w:lvlJc w:val="left"/>
      <w:pPr>
        <w:ind w:left="360" w:hanging="360"/>
      </w:pPr>
      <w:rPr>
        <w:rFonts w:hint="default"/>
        <w:b/>
        <w:bCs w:val="0"/>
        <w:i w:val="0"/>
        <w:iCs/>
      </w:rPr>
    </w:lvl>
    <w:lvl w:ilvl="1">
      <w:start w:val="1"/>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13" w15:restartNumberingAfterBreak="0">
    <w:nsid w:val="32150179"/>
    <w:multiLevelType w:val="hybridMultilevel"/>
    <w:tmpl w:val="D00005E4"/>
    <w:lvl w:ilvl="0" w:tplc="A384A56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4" w15:restartNumberingAfterBreak="0">
    <w:nsid w:val="34D513D5"/>
    <w:multiLevelType w:val="hybridMultilevel"/>
    <w:tmpl w:val="9CCCB55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61B5E41"/>
    <w:multiLevelType w:val="hybridMultilevel"/>
    <w:tmpl w:val="FC0E60D4"/>
    <w:lvl w:ilvl="0" w:tplc="EBC224E0">
      <w:start w:val="1"/>
      <w:numFmt w:val="decimal"/>
      <w:lvlText w:val="%1."/>
      <w:lvlJc w:val="left"/>
      <w:pPr>
        <w:ind w:left="2487" w:hanging="360"/>
      </w:pPr>
      <w:rPr>
        <w:rFonts w:hint="default"/>
      </w:rPr>
    </w:lvl>
    <w:lvl w:ilvl="1" w:tplc="04210019" w:tentative="1">
      <w:start w:val="1"/>
      <w:numFmt w:val="lowerLetter"/>
      <w:lvlText w:val="%2."/>
      <w:lvlJc w:val="left"/>
      <w:pPr>
        <w:ind w:left="3207" w:hanging="360"/>
      </w:pPr>
    </w:lvl>
    <w:lvl w:ilvl="2" w:tplc="0421001B" w:tentative="1">
      <w:start w:val="1"/>
      <w:numFmt w:val="lowerRoman"/>
      <w:lvlText w:val="%3."/>
      <w:lvlJc w:val="right"/>
      <w:pPr>
        <w:ind w:left="3927" w:hanging="180"/>
      </w:pPr>
    </w:lvl>
    <w:lvl w:ilvl="3" w:tplc="0421000F" w:tentative="1">
      <w:start w:val="1"/>
      <w:numFmt w:val="decimal"/>
      <w:lvlText w:val="%4."/>
      <w:lvlJc w:val="left"/>
      <w:pPr>
        <w:ind w:left="4647" w:hanging="360"/>
      </w:pPr>
    </w:lvl>
    <w:lvl w:ilvl="4" w:tplc="04210019" w:tentative="1">
      <w:start w:val="1"/>
      <w:numFmt w:val="lowerLetter"/>
      <w:lvlText w:val="%5."/>
      <w:lvlJc w:val="left"/>
      <w:pPr>
        <w:ind w:left="5367" w:hanging="360"/>
      </w:pPr>
    </w:lvl>
    <w:lvl w:ilvl="5" w:tplc="0421001B" w:tentative="1">
      <w:start w:val="1"/>
      <w:numFmt w:val="lowerRoman"/>
      <w:lvlText w:val="%6."/>
      <w:lvlJc w:val="right"/>
      <w:pPr>
        <w:ind w:left="6087" w:hanging="180"/>
      </w:pPr>
    </w:lvl>
    <w:lvl w:ilvl="6" w:tplc="0421000F" w:tentative="1">
      <w:start w:val="1"/>
      <w:numFmt w:val="decimal"/>
      <w:lvlText w:val="%7."/>
      <w:lvlJc w:val="left"/>
      <w:pPr>
        <w:ind w:left="6807" w:hanging="360"/>
      </w:pPr>
    </w:lvl>
    <w:lvl w:ilvl="7" w:tplc="04210019" w:tentative="1">
      <w:start w:val="1"/>
      <w:numFmt w:val="lowerLetter"/>
      <w:lvlText w:val="%8."/>
      <w:lvlJc w:val="left"/>
      <w:pPr>
        <w:ind w:left="7527" w:hanging="360"/>
      </w:pPr>
    </w:lvl>
    <w:lvl w:ilvl="8" w:tplc="0421001B" w:tentative="1">
      <w:start w:val="1"/>
      <w:numFmt w:val="lowerRoman"/>
      <w:lvlText w:val="%9."/>
      <w:lvlJc w:val="right"/>
      <w:pPr>
        <w:ind w:left="8247" w:hanging="180"/>
      </w:pPr>
    </w:lvl>
  </w:abstractNum>
  <w:abstractNum w:abstractNumId="16" w15:restartNumberingAfterBreak="0">
    <w:nsid w:val="3D1F0198"/>
    <w:multiLevelType w:val="hybridMultilevel"/>
    <w:tmpl w:val="8E002A5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D7B4DC7"/>
    <w:multiLevelType w:val="multilevel"/>
    <w:tmpl w:val="08E6D462"/>
    <w:lvl w:ilvl="0">
      <w:start w:val="2"/>
      <w:numFmt w:val="decimal"/>
      <w:lvlText w:val="%1"/>
      <w:lvlJc w:val="left"/>
      <w:pPr>
        <w:ind w:left="360" w:hanging="360"/>
      </w:pPr>
      <w:rPr>
        <w:rFonts w:hint="default"/>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18" w15:restartNumberingAfterBreak="0">
    <w:nsid w:val="42211DA0"/>
    <w:multiLevelType w:val="hybridMultilevel"/>
    <w:tmpl w:val="83CA631A"/>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55AD047B"/>
    <w:multiLevelType w:val="hybridMultilevel"/>
    <w:tmpl w:val="F3F0FC9A"/>
    <w:lvl w:ilvl="0" w:tplc="E9F4C06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0" w15:restartNumberingAfterBreak="0">
    <w:nsid w:val="591B39BC"/>
    <w:multiLevelType w:val="multilevel"/>
    <w:tmpl w:val="4A7C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8104FD"/>
    <w:multiLevelType w:val="hybridMultilevel"/>
    <w:tmpl w:val="692AFCB8"/>
    <w:lvl w:ilvl="0" w:tplc="B3E4E0BA">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5BC0298A"/>
    <w:multiLevelType w:val="hybridMultilevel"/>
    <w:tmpl w:val="505EA6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2C5CF5"/>
    <w:multiLevelType w:val="multilevel"/>
    <w:tmpl w:val="1708CF4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F6309EB"/>
    <w:multiLevelType w:val="hybridMultilevel"/>
    <w:tmpl w:val="1DDC0C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6560E99"/>
    <w:multiLevelType w:val="hybridMultilevel"/>
    <w:tmpl w:val="A63CE904"/>
    <w:lvl w:ilvl="0" w:tplc="D8886A8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15:restartNumberingAfterBreak="0">
    <w:nsid w:val="77FD70DD"/>
    <w:multiLevelType w:val="hybridMultilevel"/>
    <w:tmpl w:val="AD2C0A02"/>
    <w:lvl w:ilvl="0" w:tplc="FBA6994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7" w15:restartNumberingAfterBreak="0">
    <w:nsid w:val="7DF91CDF"/>
    <w:multiLevelType w:val="hybridMultilevel"/>
    <w:tmpl w:val="30F207FE"/>
    <w:lvl w:ilvl="0" w:tplc="11728DCE">
      <w:start w:val="1"/>
      <w:numFmt w:val="lowerLetter"/>
      <w:lvlText w:val="%1."/>
      <w:lvlJc w:val="left"/>
      <w:pPr>
        <w:ind w:left="2637" w:hanging="510"/>
      </w:pPr>
      <w:rPr>
        <w:rFonts w:ascii="Times New Roman" w:eastAsiaTheme="minorHAnsi" w:hAnsi="Times New Roman" w:cs="Times New Roman"/>
      </w:rPr>
    </w:lvl>
    <w:lvl w:ilvl="1" w:tplc="04210019" w:tentative="1">
      <w:start w:val="1"/>
      <w:numFmt w:val="lowerLetter"/>
      <w:lvlText w:val="%2."/>
      <w:lvlJc w:val="left"/>
      <w:pPr>
        <w:ind w:left="3207" w:hanging="360"/>
      </w:pPr>
    </w:lvl>
    <w:lvl w:ilvl="2" w:tplc="0421001B" w:tentative="1">
      <w:start w:val="1"/>
      <w:numFmt w:val="lowerRoman"/>
      <w:lvlText w:val="%3."/>
      <w:lvlJc w:val="right"/>
      <w:pPr>
        <w:ind w:left="3927" w:hanging="180"/>
      </w:pPr>
    </w:lvl>
    <w:lvl w:ilvl="3" w:tplc="0421000F" w:tentative="1">
      <w:start w:val="1"/>
      <w:numFmt w:val="decimal"/>
      <w:lvlText w:val="%4."/>
      <w:lvlJc w:val="left"/>
      <w:pPr>
        <w:ind w:left="4647" w:hanging="360"/>
      </w:pPr>
    </w:lvl>
    <w:lvl w:ilvl="4" w:tplc="04210019" w:tentative="1">
      <w:start w:val="1"/>
      <w:numFmt w:val="lowerLetter"/>
      <w:lvlText w:val="%5."/>
      <w:lvlJc w:val="left"/>
      <w:pPr>
        <w:ind w:left="5367" w:hanging="360"/>
      </w:pPr>
    </w:lvl>
    <w:lvl w:ilvl="5" w:tplc="0421001B" w:tentative="1">
      <w:start w:val="1"/>
      <w:numFmt w:val="lowerRoman"/>
      <w:lvlText w:val="%6."/>
      <w:lvlJc w:val="right"/>
      <w:pPr>
        <w:ind w:left="6087" w:hanging="180"/>
      </w:pPr>
    </w:lvl>
    <w:lvl w:ilvl="6" w:tplc="0421000F" w:tentative="1">
      <w:start w:val="1"/>
      <w:numFmt w:val="decimal"/>
      <w:lvlText w:val="%7."/>
      <w:lvlJc w:val="left"/>
      <w:pPr>
        <w:ind w:left="6807" w:hanging="360"/>
      </w:pPr>
    </w:lvl>
    <w:lvl w:ilvl="7" w:tplc="04210019" w:tentative="1">
      <w:start w:val="1"/>
      <w:numFmt w:val="lowerLetter"/>
      <w:lvlText w:val="%8."/>
      <w:lvlJc w:val="left"/>
      <w:pPr>
        <w:ind w:left="7527" w:hanging="360"/>
      </w:pPr>
    </w:lvl>
    <w:lvl w:ilvl="8" w:tplc="0421001B" w:tentative="1">
      <w:start w:val="1"/>
      <w:numFmt w:val="lowerRoman"/>
      <w:lvlText w:val="%9."/>
      <w:lvlJc w:val="right"/>
      <w:pPr>
        <w:ind w:left="8247" w:hanging="180"/>
      </w:pPr>
    </w:lvl>
  </w:abstractNum>
  <w:abstractNum w:abstractNumId="28" w15:restartNumberingAfterBreak="0">
    <w:nsid w:val="7E793FD7"/>
    <w:multiLevelType w:val="multilevel"/>
    <w:tmpl w:val="C5ACD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6706669">
    <w:abstractNumId w:val="4"/>
  </w:num>
  <w:num w:numId="2" w16cid:durableId="1244295446">
    <w:abstractNumId w:val="20"/>
  </w:num>
  <w:num w:numId="3" w16cid:durableId="2026321506">
    <w:abstractNumId w:val="3"/>
  </w:num>
  <w:num w:numId="4" w16cid:durableId="1394037215">
    <w:abstractNumId w:val="11"/>
  </w:num>
  <w:num w:numId="5" w16cid:durableId="708383045">
    <w:abstractNumId w:val="9"/>
  </w:num>
  <w:num w:numId="6" w16cid:durableId="1818298189">
    <w:abstractNumId w:val="28"/>
  </w:num>
  <w:num w:numId="7" w16cid:durableId="854420645">
    <w:abstractNumId w:val="16"/>
  </w:num>
  <w:num w:numId="8" w16cid:durableId="126050165">
    <w:abstractNumId w:val="5"/>
  </w:num>
  <w:num w:numId="9" w16cid:durableId="1781535143">
    <w:abstractNumId w:val="6"/>
  </w:num>
  <w:num w:numId="10" w16cid:durableId="1673751054">
    <w:abstractNumId w:val="25"/>
  </w:num>
  <w:num w:numId="11" w16cid:durableId="1472556068">
    <w:abstractNumId w:val="26"/>
  </w:num>
  <w:num w:numId="12" w16cid:durableId="1974947602">
    <w:abstractNumId w:val="10"/>
  </w:num>
  <w:num w:numId="13" w16cid:durableId="77217558">
    <w:abstractNumId w:val="15"/>
  </w:num>
  <w:num w:numId="14" w16cid:durableId="11150217">
    <w:abstractNumId w:val="0"/>
  </w:num>
  <w:num w:numId="15" w16cid:durableId="1397167660">
    <w:abstractNumId w:val="27"/>
  </w:num>
  <w:num w:numId="16" w16cid:durableId="1571817019">
    <w:abstractNumId w:val="7"/>
  </w:num>
  <w:num w:numId="17" w16cid:durableId="1782919045">
    <w:abstractNumId w:val="1"/>
  </w:num>
  <w:num w:numId="18" w16cid:durableId="1075008231">
    <w:abstractNumId w:val="23"/>
  </w:num>
  <w:num w:numId="19" w16cid:durableId="1556157039">
    <w:abstractNumId w:val="2"/>
  </w:num>
  <w:num w:numId="20" w16cid:durableId="361517402">
    <w:abstractNumId w:val="18"/>
  </w:num>
  <w:num w:numId="21" w16cid:durableId="1024750461">
    <w:abstractNumId w:val="22"/>
  </w:num>
  <w:num w:numId="22" w16cid:durableId="1286692315">
    <w:abstractNumId w:val="21"/>
  </w:num>
  <w:num w:numId="23" w16cid:durableId="1079061832">
    <w:abstractNumId w:val="8"/>
  </w:num>
  <w:num w:numId="24" w16cid:durableId="656223753">
    <w:abstractNumId w:val="13"/>
  </w:num>
  <w:num w:numId="25" w16cid:durableId="571736997">
    <w:abstractNumId w:val="24"/>
  </w:num>
  <w:num w:numId="26" w16cid:durableId="52774472">
    <w:abstractNumId w:val="19"/>
  </w:num>
  <w:num w:numId="27" w16cid:durableId="2090078537">
    <w:abstractNumId w:val="14"/>
  </w:num>
  <w:num w:numId="28" w16cid:durableId="910699168">
    <w:abstractNumId w:val="17"/>
  </w:num>
  <w:num w:numId="29" w16cid:durableId="13678690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ECD"/>
    <w:rsid w:val="00032018"/>
    <w:rsid w:val="0007146E"/>
    <w:rsid w:val="000D5220"/>
    <w:rsid w:val="00137782"/>
    <w:rsid w:val="0014467C"/>
    <w:rsid w:val="001A224B"/>
    <w:rsid w:val="001E1DC6"/>
    <w:rsid w:val="002333BA"/>
    <w:rsid w:val="0025736E"/>
    <w:rsid w:val="002C014B"/>
    <w:rsid w:val="002C3B97"/>
    <w:rsid w:val="002C7853"/>
    <w:rsid w:val="002D4D7C"/>
    <w:rsid w:val="002D50DB"/>
    <w:rsid w:val="002E1CB2"/>
    <w:rsid w:val="00311707"/>
    <w:rsid w:val="003228F0"/>
    <w:rsid w:val="00331FF3"/>
    <w:rsid w:val="00351EAE"/>
    <w:rsid w:val="0035289D"/>
    <w:rsid w:val="003C60BE"/>
    <w:rsid w:val="003D3091"/>
    <w:rsid w:val="003F3AA7"/>
    <w:rsid w:val="00445135"/>
    <w:rsid w:val="00483E57"/>
    <w:rsid w:val="00486444"/>
    <w:rsid w:val="004C2880"/>
    <w:rsid w:val="004D2BBE"/>
    <w:rsid w:val="004E25F6"/>
    <w:rsid w:val="005020D5"/>
    <w:rsid w:val="005275EE"/>
    <w:rsid w:val="00543566"/>
    <w:rsid w:val="00577837"/>
    <w:rsid w:val="0059735F"/>
    <w:rsid w:val="005A7E2D"/>
    <w:rsid w:val="005B4328"/>
    <w:rsid w:val="00616F93"/>
    <w:rsid w:val="006352F6"/>
    <w:rsid w:val="006405E0"/>
    <w:rsid w:val="006521F4"/>
    <w:rsid w:val="0067010A"/>
    <w:rsid w:val="00670CCA"/>
    <w:rsid w:val="006B7D6F"/>
    <w:rsid w:val="00712987"/>
    <w:rsid w:val="0071299E"/>
    <w:rsid w:val="00725C18"/>
    <w:rsid w:val="007364FC"/>
    <w:rsid w:val="00754039"/>
    <w:rsid w:val="00763403"/>
    <w:rsid w:val="00790BDB"/>
    <w:rsid w:val="007B6B27"/>
    <w:rsid w:val="007C2B51"/>
    <w:rsid w:val="007C2ECD"/>
    <w:rsid w:val="007E19D2"/>
    <w:rsid w:val="00806C44"/>
    <w:rsid w:val="008100DF"/>
    <w:rsid w:val="008441A7"/>
    <w:rsid w:val="00854FC8"/>
    <w:rsid w:val="008727F7"/>
    <w:rsid w:val="008855E2"/>
    <w:rsid w:val="00886EC6"/>
    <w:rsid w:val="008953B2"/>
    <w:rsid w:val="008A27B1"/>
    <w:rsid w:val="008A3220"/>
    <w:rsid w:val="008A37A4"/>
    <w:rsid w:val="008E0936"/>
    <w:rsid w:val="00927AD3"/>
    <w:rsid w:val="009453DF"/>
    <w:rsid w:val="00947C92"/>
    <w:rsid w:val="00960517"/>
    <w:rsid w:val="00960A12"/>
    <w:rsid w:val="00982678"/>
    <w:rsid w:val="009930F2"/>
    <w:rsid w:val="00994F3B"/>
    <w:rsid w:val="009A555E"/>
    <w:rsid w:val="009C7E72"/>
    <w:rsid w:val="00A06767"/>
    <w:rsid w:val="00A41B52"/>
    <w:rsid w:val="00A6710D"/>
    <w:rsid w:val="00A73CB3"/>
    <w:rsid w:val="00A87AA8"/>
    <w:rsid w:val="00A92CD1"/>
    <w:rsid w:val="00AD484C"/>
    <w:rsid w:val="00AF2452"/>
    <w:rsid w:val="00B16518"/>
    <w:rsid w:val="00B21D4F"/>
    <w:rsid w:val="00B459E1"/>
    <w:rsid w:val="00B87FFA"/>
    <w:rsid w:val="00B9534B"/>
    <w:rsid w:val="00BA191C"/>
    <w:rsid w:val="00BC585F"/>
    <w:rsid w:val="00C265D3"/>
    <w:rsid w:val="00C45BB6"/>
    <w:rsid w:val="00C530A6"/>
    <w:rsid w:val="00C578F6"/>
    <w:rsid w:val="00C613A1"/>
    <w:rsid w:val="00CA7BED"/>
    <w:rsid w:val="00CC6F83"/>
    <w:rsid w:val="00CE5E97"/>
    <w:rsid w:val="00D27AC4"/>
    <w:rsid w:val="00D36371"/>
    <w:rsid w:val="00DC315C"/>
    <w:rsid w:val="00DD1BD4"/>
    <w:rsid w:val="00DE39B2"/>
    <w:rsid w:val="00DF6A02"/>
    <w:rsid w:val="00E12074"/>
    <w:rsid w:val="00E244A2"/>
    <w:rsid w:val="00E53893"/>
    <w:rsid w:val="00E65526"/>
    <w:rsid w:val="00EA6A0E"/>
    <w:rsid w:val="00ED2994"/>
    <w:rsid w:val="00EE0BB0"/>
    <w:rsid w:val="00EF4ECB"/>
    <w:rsid w:val="00EF5DF1"/>
    <w:rsid w:val="00F10622"/>
    <w:rsid w:val="00F312F8"/>
    <w:rsid w:val="00F703D1"/>
    <w:rsid w:val="00FB0D4D"/>
    <w:rsid w:val="00FB4E7B"/>
    <w:rsid w:val="00FC2D83"/>
    <w:rsid w:val="00FF61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1B7FE"/>
  <w15:chartTrackingRefBased/>
  <w15:docId w15:val="{3BC0417B-F4B7-46AA-91C3-86F6366F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BED"/>
    <w:rPr>
      <w:color w:val="0563C1" w:themeColor="hyperlink"/>
      <w:u w:val="single"/>
    </w:rPr>
  </w:style>
  <w:style w:type="character" w:styleId="UnresolvedMention">
    <w:name w:val="Unresolved Mention"/>
    <w:basedOn w:val="DefaultParagraphFont"/>
    <w:uiPriority w:val="99"/>
    <w:semiHidden/>
    <w:unhideWhenUsed/>
    <w:rsid w:val="00CA7BED"/>
    <w:rPr>
      <w:color w:val="605E5C"/>
      <w:shd w:val="clear" w:color="auto" w:fill="E1DFDD"/>
    </w:rPr>
  </w:style>
  <w:style w:type="paragraph" w:styleId="ListParagraph">
    <w:name w:val="List Paragraph"/>
    <w:basedOn w:val="Normal"/>
    <w:uiPriority w:val="34"/>
    <w:qFormat/>
    <w:rsid w:val="006352F6"/>
    <w:pPr>
      <w:ind w:left="720"/>
      <w:contextualSpacing/>
    </w:pPr>
  </w:style>
  <w:style w:type="paragraph" w:styleId="FootnoteText">
    <w:name w:val="footnote text"/>
    <w:basedOn w:val="Normal"/>
    <w:link w:val="FootnoteTextChar"/>
    <w:uiPriority w:val="99"/>
    <w:semiHidden/>
    <w:unhideWhenUsed/>
    <w:rsid w:val="002E1C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CB2"/>
    <w:rPr>
      <w:sz w:val="20"/>
      <w:szCs w:val="20"/>
    </w:rPr>
  </w:style>
  <w:style w:type="character" w:styleId="FootnoteReference">
    <w:name w:val="footnote reference"/>
    <w:basedOn w:val="DefaultParagraphFont"/>
    <w:uiPriority w:val="99"/>
    <w:semiHidden/>
    <w:unhideWhenUsed/>
    <w:rsid w:val="002E1CB2"/>
    <w:rPr>
      <w:vertAlign w:val="superscript"/>
    </w:rPr>
  </w:style>
  <w:style w:type="table" w:styleId="TableGrid">
    <w:name w:val="Table Grid"/>
    <w:basedOn w:val="TableNormal"/>
    <w:uiPriority w:val="39"/>
    <w:rsid w:val="00670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3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3BA"/>
  </w:style>
  <w:style w:type="paragraph" w:styleId="Footer">
    <w:name w:val="footer"/>
    <w:basedOn w:val="Normal"/>
    <w:link w:val="FooterChar"/>
    <w:uiPriority w:val="99"/>
    <w:unhideWhenUsed/>
    <w:rsid w:val="00233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8757">
      <w:bodyDiv w:val="1"/>
      <w:marLeft w:val="0"/>
      <w:marRight w:val="0"/>
      <w:marTop w:val="0"/>
      <w:marBottom w:val="0"/>
      <w:divBdr>
        <w:top w:val="none" w:sz="0" w:space="0" w:color="auto"/>
        <w:left w:val="none" w:sz="0" w:space="0" w:color="auto"/>
        <w:bottom w:val="none" w:sz="0" w:space="0" w:color="auto"/>
        <w:right w:val="none" w:sz="0" w:space="0" w:color="auto"/>
      </w:divBdr>
    </w:div>
    <w:div w:id="452945750">
      <w:bodyDiv w:val="1"/>
      <w:marLeft w:val="0"/>
      <w:marRight w:val="0"/>
      <w:marTop w:val="0"/>
      <w:marBottom w:val="0"/>
      <w:divBdr>
        <w:top w:val="none" w:sz="0" w:space="0" w:color="auto"/>
        <w:left w:val="none" w:sz="0" w:space="0" w:color="auto"/>
        <w:bottom w:val="none" w:sz="0" w:space="0" w:color="auto"/>
        <w:right w:val="none" w:sz="0" w:space="0" w:color="auto"/>
      </w:divBdr>
      <w:divsChild>
        <w:div w:id="2024476467">
          <w:marLeft w:val="0"/>
          <w:marRight w:val="0"/>
          <w:marTop w:val="0"/>
          <w:marBottom w:val="0"/>
          <w:divBdr>
            <w:top w:val="none" w:sz="0" w:space="0" w:color="auto"/>
            <w:left w:val="none" w:sz="0" w:space="0" w:color="auto"/>
            <w:bottom w:val="none" w:sz="0" w:space="0" w:color="auto"/>
            <w:right w:val="none" w:sz="0" w:space="0" w:color="auto"/>
          </w:divBdr>
          <w:divsChild>
            <w:div w:id="1988120578">
              <w:marLeft w:val="0"/>
              <w:marRight w:val="0"/>
              <w:marTop w:val="0"/>
              <w:marBottom w:val="0"/>
              <w:divBdr>
                <w:top w:val="none" w:sz="0" w:space="0" w:color="auto"/>
                <w:left w:val="none" w:sz="0" w:space="0" w:color="auto"/>
                <w:bottom w:val="none" w:sz="0" w:space="0" w:color="auto"/>
                <w:right w:val="none" w:sz="0" w:space="0" w:color="auto"/>
              </w:divBdr>
              <w:divsChild>
                <w:div w:id="1684553936">
                  <w:marLeft w:val="0"/>
                  <w:marRight w:val="0"/>
                  <w:marTop w:val="0"/>
                  <w:marBottom w:val="0"/>
                  <w:divBdr>
                    <w:top w:val="none" w:sz="0" w:space="0" w:color="auto"/>
                    <w:left w:val="none" w:sz="0" w:space="0" w:color="auto"/>
                    <w:bottom w:val="none" w:sz="0" w:space="0" w:color="auto"/>
                    <w:right w:val="none" w:sz="0" w:space="0" w:color="auto"/>
                  </w:divBdr>
                  <w:divsChild>
                    <w:div w:id="1345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984750">
      <w:bodyDiv w:val="1"/>
      <w:marLeft w:val="0"/>
      <w:marRight w:val="0"/>
      <w:marTop w:val="0"/>
      <w:marBottom w:val="0"/>
      <w:divBdr>
        <w:top w:val="none" w:sz="0" w:space="0" w:color="auto"/>
        <w:left w:val="none" w:sz="0" w:space="0" w:color="auto"/>
        <w:bottom w:val="none" w:sz="0" w:space="0" w:color="auto"/>
        <w:right w:val="none" w:sz="0" w:space="0" w:color="auto"/>
      </w:divBdr>
    </w:div>
    <w:div w:id="481166720">
      <w:bodyDiv w:val="1"/>
      <w:marLeft w:val="0"/>
      <w:marRight w:val="0"/>
      <w:marTop w:val="0"/>
      <w:marBottom w:val="0"/>
      <w:divBdr>
        <w:top w:val="none" w:sz="0" w:space="0" w:color="auto"/>
        <w:left w:val="none" w:sz="0" w:space="0" w:color="auto"/>
        <w:bottom w:val="none" w:sz="0" w:space="0" w:color="auto"/>
        <w:right w:val="none" w:sz="0" w:space="0" w:color="auto"/>
      </w:divBdr>
    </w:div>
    <w:div w:id="497110485">
      <w:bodyDiv w:val="1"/>
      <w:marLeft w:val="0"/>
      <w:marRight w:val="0"/>
      <w:marTop w:val="0"/>
      <w:marBottom w:val="0"/>
      <w:divBdr>
        <w:top w:val="none" w:sz="0" w:space="0" w:color="auto"/>
        <w:left w:val="none" w:sz="0" w:space="0" w:color="auto"/>
        <w:bottom w:val="none" w:sz="0" w:space="0" w:color="auto"/>
        <w:right w:val="none" w:sz="0" w:space="0" w:color="auto"/>
      </w:divBdr>
      <w:divsChild>
        <w:div w:id="85268175">
          <w:marLeft w:val="0"/>
          <w:marRight w:val="0"/>
          <w:marTop w:val="0"/>
          <w:marBottom w:val="0"/>
          <w:divBdr>
            <w:top w:val="none" w:sz="0" w:space="0" w:color="auto"/>
            <w:left w:val="none" w:sz="0" w:space="0" w:color="auto"/>
            <w:bottom w:val="none" w:sz="0" w:space="0" w:color="auto"/>
            <w:right w:val="none" w:sz="0" w:space="0" w:color="auto"/>
          </w:divBdr>
        </w:div>
        <w:div w:id="2127695824">
          <w:marLeft w:val="0"/>
          <w:marRight w:val="0"/>
          <w:marTop w:val="0"/>
          <w:marBottom w:val="0"/>
          <w:divBdr>
            <w:top w:val="none" w:sz="0" w:space="0" w:color="auto"/>
            <w:left w:val="none" w:sz="0" w:space="0" w:color="auto"/>
            <w:bottom w:val="none" w:sz="0" w:space="0" w:color="auto"/>
            <w:right w:val="none" w:sz="0" w:space="0" w:color="auto"/>
          </w:divBdr>
        </w:div>
      </w:divsChild>
    </w:div>
    <w:div w:id="639848003">
      <w:bodyDiv w:val="1"/>
      <w:marLeft w:val="0"/>
      <w:marRight w:val="0"/>
      <w:marTop w:val="0"/>
      <w:marBottom w:val="0"/>
      <w:divBdr>
        <w:top w:val="none" w:sz="0" w:space="0" w:color="auto"/>
        <w:left w:val="none" w:sz="0" w:space="0" w:color="auto"/>
        <w:bottom w:val="none" w:sz="0" w:space="0" w:color="auto"/>
        <w:right w:val="none" w:sz="0" w:space="0" w:color="auto"/>
      </w:divBdr>
    </w:div>
    <w:div w:id="656808645">
      <w:bodyDiv w:val="1"/>
      <w:marLeft w:val="0"/>
      <w:marRight w:val="0"/>
      <w:marTop w:val="0"/>
      <w:marBottom w:val="0"/>
      <w:divBdr>
        <w:top w:val="none" w:sz="0" w:space="0" w:color="auto"/>
        <w:left w:val="none" w:sz="0" w:space="0" w:color="auto"/>
        <w:bottom w:val="none" w:sz="0" w:space="0" w:color="auto"/>
        <w:right w:val="none" w:sz="0" w:space="0" w:color="auto"/>
      </w:divBdr>
      <w:divsChild>
        <w:div w:id="1749694522">
          <w:marLeft w:val="0"/>
          <w:marRight w:val="0"/>
          <w:marTop w:val="0"/>
          <w:marBottom w:val="0"/>
          <w:divBdr>
            <w:top w:val="none" w:sz="0" w:space="0" w:color="auto"/>
            <w:left w:val="none" w:sz="0" w:space="0" w:color="auto"/>
            <w:bottom w:val="none" w:sz="0" w:space="0" w:color="auto"/>
            <w:right w:val="none" w:sz="0" w:space="0" w:color="auto"/>
          </w:divBdr>
        </w:div>
        <w:div w:id="382944926">
          <w:marLeft w:val="0"/>
          <w:marRight w:val="0"/>
          <w:marTop w:val="0"/>
          <w:marBottom w:val="0"/>
          <w:divBdr>
            <w:top w:val="none" w:sz="0" w:space="0" w:color="auto"/>
            <w:left w:val="none" w:sz="0" w:space="0" w:color="auto"/>
            <w:bottom w:val="none" w:sz="0" w:space="0" w:color="auto"/>
            <w:right w:val="none" w:sz="0" w:space="0" w:color="auto"/>
          </w:divBdr>
        </w:div>
        <w:div w:id="900560351">
          <w:marLeft w:val="0"/>
          <w:marRight w:val="0"/>
          <w:marTop w:val="0"/>
          <w:marBottom w:val="0"/>
          <w:divBdr>
            <w:top w:val="none" w:sz="0" w:space="0" w:color="auto"/>
            <w:left w:val="none" w:sz="0" w:space="0" w:color="auto"/>
            <w:bottom w:val="none" w:sz="0" w:space="0" w:color="auto"/>
            <w:right w:val="none" w:sz="0" w:space="0" w:color="auto"/>
          </w:divBdr>
        </w:div>
      </w:divsChild>
    </w:div>
    <w:div w:id="724648398">
      <w:bodyDiv w:val="1"/>
      <w:marLeft w:val="0"/>
      <w:marRight w:val="0"/>
      <w:marTop w:val="0"/>
      <w:marBottom w:val="0"/>
      <w:divBdr>
        <w:top w:val="none" w:sz="0" w:space="0" w:color="auto"/>
        <w:left w:val="none" w:sz="0" w:space="0" w:color="auto"/>
        <w:bottom w:val="none" w:sz="0" w:space="0" w:color="auto"/>
        <w:right w:val="none" w:sz="0" w:space="0" w:color="auto"/>
      </w:divBdr>
    </w:div>
    <w:div w:id="768938550">
      <w:bodyDiv w:val="1"/>
      <w:marLeft w:val="0"/>
      <w:marRight w:val="0"/>
      <w:marTop w:val="0"/>
      <w:marBottom w:val="0"/>
      <w:divBdr>
        <w:top w:val="none" w:sz="0" w:space="0" w:color="auto"/>
        <w:left w:val="none" w:sz="0" w:space="0" w:color="auto"/>
        <w:bottom w:val="none" w:sz="0" w:space="0" w:color="auto"/>
        <w:right w:val="none" w:sz="0" w:space="0" w:color="auto"/>
      </w:divBdr>
    </w:div>
    <w:div w:id="821043578">
      <w:bodyDiv w:val="1"/>
      <w:marLeft w:val="0"/>
      <w:marRight w:val="0"/>
      <w:marTop w:val="0"/>
      <w:marBottom w:val="0"/>
      <w:divBdr>
        <w:top w:val="none" w:sz="0" w:space="0" w:color="auto"/>
        <w:left w:val="none" w:sz="0" w:space="0" w:color="auto"/>
        <w:bottom w:val="none" w:sz="0" w:space="0" w:color="auto"/>
        <w:right w:val="none" w:sz="0" w:space="0" w:color="auto"/>
      </w:divBdr>
    </w:div>
    <w:div w:id="1103233161">
      <w:bodyDiv w:val="1"/>
      <w:marLeft w:val="0"/>
      <w:marRight w:val="0"/>
      <w:marTop w:val="0"/>
      <w:marBottom w:val="0"/>
      <w:divBdr>
        <w:top w:val="none" w:sz="0" w:space="0" w:color="auto"/>
        <w:left w:val="none" w:sz="0" w:space="0" w:color="auto"/>
        <w:bottom w:val="none" w:sz="0" w:space="0" w:color="auto"/>
        <w:right w:val="none" w:sz="0" w:space="0" w:color="auto"/>
      </w:divBdr>
    </w:div>
    <w:div w:id="1150251800">
      <w:bodyDiv w:val="1"/>
      <w:marLeft w:val="0"/>
      <w:marRight w:val="0"/>
      <w:marTop w:val="0"/>
      <w:marBottom w:val="0"/>
      <w:divBdr>
        <w:top w:val="none" w:sz="0" w:space="0" w:color="auto"/>
        <w:left w:val="none" w:sz="0" w:space="0" w:color="auto"/>
        <w:bottom w:val="none" w:sz="0" w:space="0" w:color="auto"/>
        <w:right w:val="none" w:sz="0" w:space="0" w:color="auto"/>
      </w:divBdr>
    </w:div>
    <w:div w:id="1167137055">
      <w:bodyDiv w:val="1"/>
      <w:marLeft w:val="0"/>
      <w:marRight w:val="0"/>
      <w:marTop w:val="0"/>
      <w:marBottom w:val="0"/>
      <w:divBdr>
        <w:top w:val="none" w:sz="0" w:space="0" w:color="auto"/>
        <w:left w:val="none" w:sz="0" w:space="0" w:color="auto"/>
        <w:bottom w:val="none" w:sz="0" w:space="0" w:color="auto"/>
        <w:right w:val="none" w:sz="0" w:space="0" w:color="auto"/>
      </w:divBdr>
    </w:div>
    <w:div w:id="1208490085">
      <w:bodyDiv w:val="1"/>
      <w:marLeft w:val="0"/>
      <w:marRight w:val="0"/>
      <w:marTop w:val="0"/>
      <w:marBottom w:val="0"/>
      <w:divBdr>
        <w:top w:val="none" w:sz="0" w:space="0" w:color="auto"/>
        <w:left w:val="none" w:sz="0" w:space="0" w:color="auto"/>
        <w:bottom w:val="none" w:sz="0" w:space="0" w:color="auto"/>
        <w:right w:val="none" w:sz="0" w:space="0" w:color="auto"/>
      </w:divBdr>
      <w:divsChild>
        <w:div w:id="742871011">
          <w:marLeft w:val="0"/>
          <w:marRight w:val="0"/>
          <w:marTop w:val="0"/>
          <w:marBottom w:val="0"/>
          <w:divBdr>
            <w:top w:val="none" w:sz="0" w:space="0" w:color="auto"/>
            <w:left w:val="none" w:sz="0" w:space="0" w:color="auto"/>
            <w:bottom w:val="none" w:sz="0" w:space="0" w:color="auto"/>
            <w:right w:val="none" w:sz="0" w:space="0" w:color="auto"/>
          </w:divBdr>
          <w:divsChild>
            <w:div w:id="617835252">
              <w:marLeft w:val="0"/>
              <w:marRight w:val="0"/>
              <w:marTop w:val="0"/>
              <w:marBottom w:val="0"/>
              <w:divBdr>
                <w:top w:val="none" w:sz="0" w:space="0" w:color="auto"/>
                <w:left w:val="none" w:sz="0" w:space="0" w:color="auto"/>
                <w:bottom w:val="none" w:sz="0" w:space="0" w:color="auto"/>
                <w:right w:val="none" w:sz="0" w:space="0" w:color="auto"/>
              </w:divBdr>
              <w:divsChild>
                <w:div w:id="1719351114">
                  <w:marLeft w:val="0"/>
                  <w:marRight w:val="0"/>
                  <w:marTop w:val="0"/>
                  <w:marBottom w:val="0"/>
                  <w:divBdr>
                    <w:top w:val="none" w:sz="0" w:space="0" w:color="auto"/>
                    <w:left w:val="none" w:sz="0" w:space="0" w:color="auto"/>
                    <w:bottom w:val="none" w:sz="0" w:space="0" w:color="auto"/>
                    <w:right w:val="none" w:sz="0" w:space="0" w:color="auto"/>
                  </w:divBdr>
                  <w:divsChild>
                    <w:div w:id="133576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277025">
      <w:bodyDiv w:val="1"/>
      <w:marLeft w:val="0"/>
      <w:marRight w:val="0"/>
      <w:marTop w:val="0"/>
      <w:marBottom w:val="0"/>
      <w:divBdr>
        <w:top w:val="none" w:sz="0" w:space="0" w:color="auto"/>
        <w:left w:val="none" w:sz="0" w:space="0" w:color="auto"/>
        <w:bottom w:val="none" w:sz="0" w:space="0" w:color="auto"/>
        <w:right w:val="none" w:sz="0" w:space="0" w:color="auto"/>
      </w:divBdr>
    </w:div>
    <w:div w:id="1389575549">
      <w:bodyDiv w:val="1"/>
      <w:marLeft w:val="0"/>
      <w:marRight w:val="0"/>
      <w:marTop w:val="0"/>
      <w:marBottom w:val="0"/>
      <w:divBdr>
        <w:top w:val="none" w:sz="0" w:space="0" w:color="auto"/>
        <w:left w:val="none" w:sz="0" w:space="0" w:color="auto"/>
        <w:bottom w:val="none" w:sz="0" w:space="0" w:color="auto"/>
        <w:right w:val="none" w:sz="0" w:space="0" w:color="auto"/>
      </w:divBdr>
    </w:div>
    <w:div w:id="1412390139">
      <w:bodyDiv w:val="1"/>
      <w:marLeft w:val="0"/>
      <w:marRight w:val="0"/>
      <w:marTop w:val="0"/>
      <w:marBottom w:val="0"/>
      <w:divBdr>
        <w:top w:val="none" w:sz="0" w:space="0" w:color="auto"/>
        <w:left w:val="none" w:sz="0" w:space="0" w:color="auto"/>
        <w:bottom w:val="none" w:sz="0" w:space="0" w:color="auto"/>
        <w:right w:val="none" w:sz="0" w:space="0" w:color="auto"/>
      </w:divBdr>
    </w:div>
    <w:div w:id="1471560652">
      <w:bodyDiv w:val="1"/>
      <w:marLeft w:val="0"/>
      <w:marRight w:val="0"/>
      <w:marTop w:val="0"/>
      <w:marBottom w:val="0"/>
      <w:divBdr>
        <w:top w:val="none" w:sz="0" w:space="0" w:color="auto"/>
        <w:left w:val="none" w:sz="0" w:space="0" w:color="auto"/>
        <w:bottom w:val="none" w:sz="0" w:space="0" w:color="auto"/>
        <w:right w:val="none" w:sz="0" w:space="0" w:color="auto"/>
      </w:divBdr>
      <w:divsChild>
        <w:div w:id="1060179678">
          <w:marLeft w:val="0"/>
          <w:marRight w:val="0"/>
          <w:marTop w:val="0"/>
          <w:marBottom w:val="0"/>
          <w:divBdr>
            <w:top w:val="none" w:sz="0" w:space="0" w:color="auto"/>
            <w:left w:val="none" w:sz="0" w:space="0" w:color="auto"/>
            <w:bottom w:val="none" w:sz="0" w:space="0" w:color="auto"/>
            <w:right w:val="none" w:sz="0" w:space="0" w:color="auto"/>
          </w:divBdr>
        </w:div>
        <w:div w:id="1441072016">
          <w:marLeft w:val="0"/>
          <w:marRight w:val="0"/>
          <w:marTop w:val="0"/>
          <w:marBottom w:val="0"/>
          <w:divBdr>
            <w:top w:val="none" w:sz="0" w:space="0" w:color="auto"/>
            <w:left w:val="none" w:sz="0" w:space="0" w:color="auto"/>
            <w:bottom w:val="none" w:sz="0" w:space="0" w:color="auto"/>
            <w:right w:val="none" w:sz="0" w:space="0" w:color="auto"/>
          </w:divBdr>
        </w:div>
        <w:div w:id="1082528662">
          <w:marLeft w:val="0"/>
          <w:marRight w:val="0"/>
          <w:marTop w:val="0"/>
          <w:marBottom w:val="0"/>
          <w:divBdr>
            <w:top w:val="none" w:sz="0" w:space="0" w:color="auto"/>
            <w:left w:val="none" w:sz="0" w:space="0" w:color="auto"/>
            <w:bottom w:val="none" w:sz="0" w:space="0" w:color="auto"/>
            <w:right w:val="none" w:sz="0" w:space="0" w:color="auto"/>
          </w:divBdr>
        </w:div>
        <w:div w:id="1920601304">
          <w:marLeft w:val="0"/>
          <w:marRight w:val="0"/>
          <w:marTop w:val="0"/>
          <w:marBottom w:val="0"/>
          <w:divBdr>
            <w:top w:val="none" w:sz="0" w:space="0" w:color="auto"/>
            <w:left w:val="none" w:sz="0" w:space="0" w:color="auto"/>
            <w:bottom w:val="none" w:sz="0" w:space="0" w:color="auto"/>
            <w:right w:val="none" w:sz="0" w:space="0" w:color="auto"/>
          </w:divBdr>
        </w:div>
        <w:div w:id="1288052421">
          <w:marLeft w:val="0"/>
          <w:marRight w:val="0"/>
          <w:marTop w:val="0"/>
          <w:marBottom w:val="0"/>
          <w:divBdr>
            <w:top w:val="none" w:sz="0" w:space="0" w:color="auto"/>
            <w:left w:val="none" w:sz="0" w:space="0" w:color="auto"/>
            <w:bottom w:val="none" w:sz="0" w:space="0" w:color="auto"/>
            <w:right w:val="none" w:sz="0" w:space="0" w:color="auto"/>
          </w:divBdr>
        </w:div>
        <w:div w:id="224533155">
          <w:marLeft w:val="0"/>
          <w:marRight w:val="0"/>
          <w:marTop w:val="0"/>
          <w:marBottom w:val="0"/>
          <w:divBdr>
            <w:top w:val="none" w:sz="0" w:space="0" w:color="auto"/>
            <w:left w:val="none" w:sz="0" w:space="0" w:color="auto"/>
            <w:bottom w:val="none" w:sz="0" w:space="0" w:color="auto"/>
            <w:right w:val="none" w:sz="0" w:space="0" w:color="auto"/>
          </w:divBdr>
        </w:div>
        <w:div w:id="1829131962">
          <w:marLeft w:val="0"/>
          <w:marRight w:val="0"/>
          <w:marTop w:val="0"/>
          <w:marBottom w:val="0"/>
          <w:divBdr>
            <w:top w:val="none" w:sz="0" w:space="0" w:color="auto"/>
            <w:left w:val="none" w:sz="0" w:space="0" w:color="auto"/>
            <w:bottom w:val="none" w:sz="0" w:space="0" w:color="auto"/>
            <w:right w:val="none" w:sz="0" w:space="0" w:color="auto"/>
          </w:divBdr>
        </w:div>
        <w:div w:id="1120605579">
          <w:marLeft w:val="0"/>
          <w:marRight w:val="0"/>
          <w:marTop w:val="0"/>
          <w:marBottom w:val="0"/>
          <w:divBdr>
            <w:top w:val="none" w:sz="0" w:space="0" w:color="auto"/>
            <w:left w:val="none" w:sz="0" w:space="0" w:color="auto"/>
            <w:bottom w:val="none" w:sz="0" w:space="0" w:color="auto"/>
            <w:right w:val="none" w:sz="0" w:space="0" w:color="auto"/>
          </w:divBdr>
        </w:div>
        <w:div w:id="1902256056">
          <w:marLeft w:val="0"/>
          <w:marRight w:val="0"/>
          <w:marTop w:val="0"/>
          <w:marBottom w:val="0"/>
          <w:divBdr>
            <w:top w:val="none" w:sz="0" w:space="0" w:color="auto"/>
            <w:left w:val="none" w:sz="0" w:space="0" w:color="auto"/>
            <w:bottom w:val="none" w:sz="0" w:space="0" w:color="auto"/>
            <w:right w:val="none" w:sz="0" w:space="0" w:color="auto"/>
          </w:divBdr>
        </w:div>
        <w:div w:id="1965505903">
          <w:marLeft w:val="0"/>
          <w:marRight w:val="0"/>
          <w:marTop w:val="0"/>
          <w:marBottom w:val="0"/>
          <w:divBdr>
            <w:top w:val="none" w:sz="0" w:space="0" w:color="auto"/>
            <w:left w:val="none" w:sz="0" w:space="0" w:color="auto"/>
            <w:bottom w:val="none" w:sz="0" w:space="0" w:color="auto"/>
            <w:right w:val="none" w:sz="0" w:space="0" w:color="auto"/>
          </w:divBdr>
        </w:div>
        <w:div w:id="1385448612">
          <w:marLeft w:val="0"/>
          <w:marRight w:val="0"/>
          <w:marTop w:val="0"/>
          <w:marBottom w:val="0"/>
          <w:divBdr>
            <w:top w:val="none" w:sz="0" w:space="0" w:color="auto"/>
            <w:left w:val="none" w:sz="0" w:space="0" w:color="auto"/>
            <w:bottom w:val="none" w:sz="0" w:space="0" w:color="auto"/>
            <w:right w:val="none" w:sz="0" w:space="0" w:color="auto"/>
          </w:divBdr>
        </w:div>
      </w:divsChild>
    </w:div>
    <w:div w:id="1486584315">
      <w:bodyDiv w:val="1"/>
      <w:marLeft w:val="0"/>
      <w:marRight w:val="0"/>
      <w:marTop w:val="0"/>
      <w:marBottom w:val="0"/>
      <w:divBdr>
        <w:top w:val="none" w:sz="0" w:space="0" w:color="auto"/>
        <w:left w:val="none" w:sz="0" w:space="0" w:color="auto"/>
        <w:bottom w:val="none" w:sz="0" w:space="0" w:color="auto"/>
        <w:right w:val="none" w:sz="0" w:space="0" w:color="auto"/>
      </w:divBdr>
    </w:div>
    <w:div w:id="1510489554">
      <w:bodyDiv w:val="1"/>
      <w:marLeft w:val="0"/>
      <w:marRight w:val="0"/>
      <w:marTop w:val="0"/>
      <w:marBottom w:val="0"/>
      <w:divBdr>
        <w:top w:val="none" w:sz="0" w:space="0" w:color="auto"/>
        <w:left w:val="none" w:sz="0" w:space="0" w:color="auto"/>
        <w:bottom w:val="none" w:sz="0" w:space="0" w:color="auto"/>
        <w:right w:val="none" w:sz="0" w:space="0" w:color="auto"/>
      </w:divBdr>
    </w:div>
    <w:div w:id="1576940041">
      <w:bodyDiv w:val="1"/>
      <w:marLeft w:val="0"/>
      <w:marRight w:val="0"/>
      <w:marTop w:val="0"/>
      <w:marBottom w:val="0"/>
      <w:divBdr>
        <w:top w:val="none" w:sz="0" w:space="0" w:color="auto"/>
        <w:left w:val="none" w:sz="0" w:space="0" w:color="auto"/>
        <w:bottom w:val="none" w:sz="0" w:space="0" w:color="auto"/>
        <w:right w:val="none" w:sz="0" w:space="0" w:color="auto"/>
      </w:divBdr>
    </w:div>
    <w:div w:id="1588538457">
      <w:bodyDiv w:val="1"/>
      <w:marLeft w:val="0"/>
      <w:marRight w:val="0"/>
      <w:marTop w:val="0"/>
      <w:marBottom w:val="0"/>
      <w:divBdr>
        <w:top w:val="none" w:sz="0" w:space="0" w:color="auto"/>
        <w:left w:val="none" w:sz="0" w:space="0" w:color="auto"/>
        <w:bottom w:val="none" w:sz="0" w:space="0" w:color="auto"/>
        <w:right w:val="none" w:sz="0" w:space="0" w:color="auto"/>
      </w:divBdr>
    </w:div>
    <w:div w:id="1597397927">
      <w:bodyDiv w:val="1"/>
      <w:marLeft w:val="0"/>
      <w:marRight w:val="0"/>
      <w:marTop w:val="0"/>
      <w:marBottom w:val="0"/>
      <w:divBdr>
        <w:top w:val="none" w:sz="0" w:space="0" w:color="auto"/>
        <w:left w:val="none" w:sz="0" w:space="0" w:color="auto"/>
        <w:bottom w:val="none" w:sz="0" w:space="0" w:color="auto"/>
        <w:right w:val="none" w:sz="0" w:space="0" w:color="auto"/>
      </w:divBdr>
    </w:div>
    <w:div w:id="1658530110">
      <w:bodyDiv w:val="1"/>
      <w:marLeft w:val="0"/>
      <w:marRight w:val="0"/>
      <w:marTop w:val="0"/>
      <w:marBottom w:val="0"/>
      <w:divBdr>
        <w:top w:val="none" w:sz="0" w:space="0" w:color="auto"/>
        <w:left w:val="none" w:sz="0" w:space="0" w:color="auto"/>
        <w:bottom w:val="none" w:sz="0" w:space="0" w:color="auto"/>
        <w:right w:val="none" w:sz="0" w:space="0" w:color="auto"/>
      </w:divBdr>
    </w:div>
    <w:div w:id="1700857296">
      <w:bodyDiv w:val="1"/>
      <w:marLeft w:val="0"/>
      <w:marRight w:val="0"/>
      <w:marTop w:val="0"/>
      <w:marBottom w:val="0"/>
      <w:divBdr>
        <w:top w:val="none" w:sz="0" w:space="0" w:color="auto"/>
        <w:left w:val="none" w:sz="0" w:space="0" w:color="auto"/>
        <w:bottom w:val="none" w:sz="0" w:space="0" w:color="auto"/>
        <w:right w:val="none" w:sz="0" w:space="0" w:color="auto"/>
      </w:divBdr>
      <w:divsChild>
        <w:div w:id="1443115186">
          <w:marLeft w:val="0"/>
          <w:marRight w:val="0"/>
          <w:marTop w:val="0"/>
          <w:marBottom w:val="0"/>
          <w:divBdr>
            <w:top w:val="none" w:sz="0" w:space="0" w:color="auto"/>
            <w:left w:val="none" w:sz="0" w:space="0" w:color="auto"/>
            <w:bottom w:val="none" w:sz="0" w:space="0" w:color="auto"/>
            <w:right w:val="none" w:sz="0" w:space="0" w:color="auto"/>
          </w:divBdr>
        </w:div>
        <w:div w:id="685402492">
          <w:marLeft w:val="0"/>
          <w:marRight w:val="0"/>
          <w:marTop w:val="0"/>
          <w:marBottom w:val="0"/>
          <w:divBdr>
            <w:top w:val="none" w:sz="0" w:space="0" w:color="auto"/>
            <w:left w:val="none" w:sz="0" w:space="0" w:color="auto"/>
            <w:bottom w:val="none" w:sz="0" w:space="0" w:color="auto"/>
            <w:right w:val="none" w:sz="0" w:space="0" w:color="auto"/>
          </w:divBdr>
        </w:div>
      </w:divsChild>
    </w:div>
    <w:div w:id="1752000335">
      <w:bodyDiv w:val="1"/>
      <w:marLeft w:val="0"/>
      <w:marRight w:val="0"/>
      <w:marTop w:val="0"/>
      <w:marBottom w:val="0"/>
      <w:divBdr>
        <w:top w:val="none" w:sz="0" w:space="0" w:color="auto"/>
        <w:left w:val="none" w:sz="0" w:space="0" w:color="auto"/>
        <w:bottom w:val="none" w:sz="0" w:space="0" w:color="auto"/>
        <w:right w:val="none" w:sz="0" w:space="0" w:color="auto"/>
      </w:divBdr>
    </w:div>
    <w:div w:id="1782652268">
      <w:bodyDiv w:val="1"/>
      <w:marLeft w:val="0"/>
      <w:marRight w:val="0"/>
      <w:marTop w:val="0"/>
      <w:marBottom w:val="0"/>
      <w:divBdr>
        <w:top w:val="none" w:sz="0" w:space="0" w:color="auto"/>
        <w:left w:val="none" w:sz="0" w:space="0" w:color="auto"/>
        <w:bottom w:val="none" w:sz="0" w:space="0" w:color="auto"/>
        <w:right w:val="none" w:sz="0" w:space="0" w:color="auto"/>
      </w:divBdr>
    </w:div>
    <w:div w:id="1822187464">
      <w:bodyDiv w:val="1"/>
      <w:marLeft w:val="0"/>
      <w:marRight w:val="0"/>
      <w:marTop w:val="0"/>
      <w:marBottom w:val="0"/>
      <w:divBdr>
        <w:top w:val="none" w:sz="0" w:space="0" w:color="auto"/>
        <w:left w:val="none" w:sz="0" w:space="0" w:color="auto"/>
        <w:bottom w:val="none" w:sz="0" w:space="0" w:color="auto"/>
        <w:right w:val="none" w:sz="0" w:space="0" w:color="auto"/>
      </w:divBdr>
      <w:divsChild>
        <w:div w:id="1592936097">
          <w:marLeft w:val="0"/>
          <w:marRight w:val="0"/>
          <w:marTop w:val="0"/>
          <w:marBottom w:val="0"/>
          <w:divBdr>
            <w:top w:val="none" w:sz="0" w:space="0" w:color="auto"/>
            <w:left w:val="none" w:sz="0" w:space="0" w:color="auto"/>
            <w:bottom w:val="none" w:sz="0" w:space="0" w:color="auto"/>
            <w:right w:val="none" w:sz="0" w:space="0" w:color="auto"/>
          </w:divBdr>
        </w:div>
        <w:div w:id="493380147">
          <w:marLeft w:val="0"/>
          <w:marRight w:val="0"/>
          <w:marTop w:val="0"/>
          <w:marBottom w:val="0"/>
          <w:divBdr>
            <w:top w:val="none" w:sz="0" w:space="0" w:color="auto"/>
            <w:left w:val="none" w:sz="0" w:space="0" w:color="auto"/>
            <w:bottom w:val="none" w:sz="0" w:space="0" w:color="auto"/>
            <w:right w:val="none" w:sz="0" w:space="0" w:color="auto"/>
          </w:divBdr>
        </w:div>
        <w:div w:id="1977834278">
          <w:marLeft w:val="0"/>
          <w:marRight w:val="0"/>
          <w:marTop w:val="0"/>
          <w:marBottom w:val="0"/>
          <w:divBdr>
            <w:top w:val="none" w:sz="0" w:space="0" w:color="auto"/>
            <w:left w:val="none" w:sz="0" w:space="0" w:color="auto"/>
            <w:bottom w:val="none" w:sz="0" w:space="0" w:color="auto"/>
            <w:right w:val="none" w:sz="0" w:space="0" w:color="auto"/>
          </w:divBdr>
        </w:div>
      </w:divsChild>
    </w:div>
    <w:div w:id="1926255852">
      <w:bodyDiv w:val="1"/>
      <w:marLeft w:val="0"/>
      <w:marRight w:val="0"/>
      <w:marTop w:val="0"/>
      <w:marBottom w:val="0"/>
      <w:divBdr>
        <w:top w:val="none" w:sz="0" w:space="0" w:color="auto"/>
        <w:left w:val="none" w:sz="0" w:space="0" w:color="auto"/>
        <w:bottom w:val="none" w:sz="0" w:space="0" w:color="auto"/>
        <w:right w:val="none" w:sz="0" w:space="0" w:color="auto"/>
      </w:divBdr>
      <w:divsChild>
        <w:div w:id="587467327">
          <w:marLeft w:val="0"/>
          <w:marRight w:val="0"/>
          <w:marTop w:val="0"/>
          <w:marBottom w:val="0"/>
          <w:divBdr>
            <w:top w:val="none" w:sz="0" w:space="0" w:color="auto"/>
            <w:left w:val="none" w:sz="0" w:space="0" w:color="auto"/>
            <w:bottom w:val="none" w:sz="0" w:space="0" w:color="auto"/>
            <w:right w:val="none" w:sz="0" w:space="0" w:color="auto"/>
          </w:divBdr>
        </w:div>
        <w:div w:id="573591318">
          <w:marLeft w:val="0"/>
          <w:marRight w:val="0"/>
          <w:marTop w:val="0"/>
          <w:marBottom w:val="0"/>
          <w:divBdr>
            <w:top w:val="none" w:sz="0" w:space="0" w:color="auto"/>
            <w:left w:val="none" w:sz="0" w:space="0" w:color="auto"/>
            <w:bottom w:val="none" w:sz="0" w:space="0" w:color="auto"/>
            <w:right w:val="none" w:sz="0" w:space="0" w:color="auto"/>
          </w:divBdr>
        </w:div>
        <w:div w:id="247203746">
          <w:marLeft w:val="0"/>
          <w:marRight w:val="0"/>
          <w:marTop w:val="0"/>
          <w:marBottom w:val="0"/>
          <w:divBdr>
            <w:top w:val="none" w:sz="0" w:space="0" w:color="auto"/>
            <w:left w:val="none" w:sz="0" w:space="0" w:color="auto"/>
            <w:bottom w:val="none" w:sz="0" w:space="0" w:color="auto"/>
            <w:right w:val="none" w:sz="0" w:space="0" w:color="auto"/>
          </w:divBdr>
        </w:div>
        <w:div w:id="1403522986">
          <w:marLeft w:val="0"/>
          <w:marRight w:val="0"/>
          <w:marTop w:val="0"/>
          <w:marBottom w:val="0"/>
          <w:divBdr>
            <w:top w:val="none" w:sz="0" w:space="0" w:color="auto"/>
            <w:left w:val="none" w:sz="0" w:space="0" w:color="auto"/>
            <w:bottom w:val="none" w:sz="0" w:space="0" w:color="auto"/>
            <w:right w:val="none" w:sz="0" w:space="0" w:color="auto"/>
          </w:divBdr>
        </w:div>
        <w:div w:id="53621218">
          <w:marLeft w:val="0"/>
          <w:marRight w:val="0"/>
          <w:marTop w:val="0"/>
          <w:marBottom w:val="0"/>
          <w:divBdr>
            <w:top w:val="none" w:sz="0" w:space="0" w:color="auto"/>
            <w:left w:val="none" w:sz="0" w:space="0" w:color="auto"/>
            <w:bottom w:val="none" w:sz="0" w:space="0" w:color="auto"/>
            <w:right w:val="none" w:sz="0" w:space="0" w:color="auto"/>
          </w:divBdr>
        </w:div>
        <w:div w:id="1378512031">
          <w:marLeft w:val="0"/>
          <w:marRight w:val="0"/>
          <w:marTop w:val="0"/>
          <w:marBottom w:val="0"/>
          <w:divBdr>
            <w:top w:val="none" w:sz="0" w:space="0" w:color="auto"/>
            <w:left w:val="none" w:sz="0" w:space="0" w:color="auto"/>
            <w:bottom w:val="none" w:sz="0" w:space="0" w:color="auto"/>
            <w:right w:val="none" w:sz="0" w:space="0" w:color="auto"/>
          </w:divBdr>
        </w:div>
        <w:div w:id="1154952081">
          <w:marLeft w:val="0"/>
          <w:marRight w:val="0"/>
          <w:marTop w:val="0"/>
          <w:marBottom w:val="0"/>
          <w:divBdr>
            <w:top w:val="none" w:sz="0" w:space="0" w:color="auto"/>
            <w:left w:val="none" w:sz="0" w:space="0" w:color="auto"/>
            <w:bottom w:val="none" w:sz="0" w:space="0" w:color="auto"/>
            <w:right w:val="none" w:sz="0" w:space="0" w:color="auto"/>
          </w:divBdr>
        </w:div>
        <w:div w:id="1744796992">
          <w:marLeft w:val="0"/>
          <w:marRight w:val="0"/>
          <w:marTop w:val="0"/>
          <w:marBottom w:val="0"/>
          <w:divBdr>
            <w:top w:val="none" w:sz="0" w:space="0" w:color="auto"/>
            <w:left w:val="none" w:sz="0" w:space="0" w:color="auto"/>
            <w:bottom w:val="none" w:sz="0" w:space="0" w:color="auto"/>
            <w:right w:val="none" w:sz="0" w:space="0" w:color="auto"/>
          </w:divBdr>
        </w:div>
        <w:div w:id="1006175828">
          <w:marLeft w:val="0"/>
          <w:marRight w:val="0"/>
          <w:marTop w:val="0"/>
          <w:marBottom w:val="0"/>
          <w:divBdr>
            <w:top w:val="none" w:sz="0" w:space="0" w:color="auto"/>
            <w:left w:val="none" w:sz="0" w:space="0" w:color="auto"/>
            <w:bottom w:val="none" w:sz="0" w:space="0" w:color="auto"/>
            <w:right w:val="none" w:sz="0" w:space="0" w:color="auto"/>
          </w:divBdr>
        </w:div>
        <w:div w:id="1147429674">
          <w:marLeft w:val="0"/>
          <w:marRight w:val="0"/>
          <w:marTop w:val="0"/>
          <w:marBottom w:val="0"/>
          <w:divBdr>
            <w:top w:val="none" w:sz="0" w:space="0" w:color="auto"/>
            <w:left w:val="none" w:sz="0" w:space="0" w:color="auto"/>
            <w:bottom w:val="none" w:sz="0" w:space="0" w:color="auto"/>
            <w:right w:val="none" w:sz="0" w:space="0" w:color="auto"/>
          </w:divBdr>
        </w:div>
        <w:div w:id="1512137304">
          <w:marLeft w:val="0"/>
          <w:marRight w:val="0"/>
          <w:marTop w:val="0"/>
          <w:marBottom w:val="0"/>
          <w:divBdr>
            <w:top w:val="none" w:sz="0" w:space="0" w:color="auto"/>
            <w:left w:val="none" w:sz="0" w:space="0" w:color="auto"/>
            <w:bottom w:val="none" w:sz="0" w:space="0" w:color="auto"/>
            <w:right w:val="none" w:sz="0" w:space="0" w:color="auto"/>
          </w:divBdr>
        </w:div>
      </w:divsChild>
    </w:div>
    <w:div w:id="1939633139">
      <w:bodyDiv w:val="1"/>
      <w:marLeft w:val="0"/>
      <w:marRight w:val="0"/>
      <w:marTop w:val="0"/>
      <w:marBottom w:val="0"/>
      <w:divBdr>
        <w:top w:val="none" w:sz="0" w:space="0" w:color="auto"/>
        <w:left w:val="none" w:sz="0" w:space="0" w:color="auto"/>
        <w:bottom w:val="none" w:sz="0" w:space="0" w:color="auto"/>
        <w:right w:val="none" w:sz="0" w:space="0" w:color="auto"/>
      </w:divBdr>
    </w:div>
    <w:div w:id="1950504911">
      <w:bodyDiv w:val="1"/>
      <w:marLeft w:val="0"/>
      <w:marRight w:val="0"/>
      <w:marTop w:val="0"/>
      <w:marBottom w:val="0"/>
      <w:divBdr>
        <w:top w:val="none" w:sz="0" w:space="0" w:color="auto"/>
        <w:left w:val="none" w:sz="0" w:space="0" w:color="auto"/>
        <w:bottom w:val="none" w:sz="0" w:space="0" w:color="auto"/>
        <w:right w:val="none" w:sz="0" w:space="0" w:color="auto"/>
      </w:divBdr>
    </w:div>
    <w:div w:id="1995644843">
      <w:bodyDiv w:val="1"/>
      <w:marLeft w:val="0"/>
      <w:marRight w:val="0"/>
      <w:marTop w:val="0"/>
      <w:marBottom w:val="0"/>
      <w:divBdr>
        <w:top w:val="none" w:sz="0" w:space="0" w:color="auto"/>
        <w:left w:val="none" w:sz="0" w:space="0" w:color="auto"/>
        <w:bottom w:val="none" w:sz="0" w:space="0" w:color="auto"/>
        <w:right w:val="none" w:sz="0" w:space="0" w:color="auto"/>
      </w:divBdr>
    </w:div>
    <w:div w:id="2084716723">
      <w:bodyDiv w:val="1"/>
      <w:marLeft w:val="0"/>
      <w:marRight w:val="0"/>
      <w:marTop w:val="0"/>
      <w:marBottom w:val="0"/>
      <w:divBdr>
        <w:top w:val="none" w:sz="0" w:space="0" w:color="auto"/>
        <w:left w:val="none" w:sz="0" w:space="0" w:color="auto"/>
        <w:bottom w:val="none" w:sz="0" w:space="0" w:color="auto"/>
        <w:right w:val="none" w:sz="0" w:space="0" w:color="auto"/>
      </w:divBdr>
    </w:div>
    <w:div w:id="212738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FA33C-DE4C-4329-A9B5-7BC3A6CBF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11844</Words>
  <Characters>67511</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S6N0CX11S997269@outlook.com</dc:creator>
  <cp:keywords/>
  <dc:description/>
  <cp:lastModifiedBy>Novi Damayanti</cp:lastModifiedBy>
  <cp:revision>3</cp:revision>
  <dcterms:created xsi:type="dcterms:W3CDTF">2026-10-18T04:01:00Z</dcterms:created>
  <dcterms:modified xsi:type="dcterms:W3CDTF">2026-10-18T04:08:00Z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662ff322-f36f-3845-bb2a-3f6d9f905021</vt:lpwstr>
  </property>
</Properties>
</file>