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9D5EFC" w14:textId="7F53C1DB" w:rsidR="00C6734A" w:rsidRDefault="00C6734A" w:rsidP="00FA3DD9">
      <w:pPr>
        <w:spacing w:line="240" w:lineRule="auto"/>
        <w:jc w:val="center"/>
        <w:rPr>
          <w:rFonts w:ascii="Times New Roman" w:hAnsi="Times New Roman" w:cs="Times New Roman"/>
          <w:b/>
          <w:bCs/>
          <w:sz w:val="24"/>
          <w:szCs w:val="24"/>
        </w:rPr>
      </w:pPr>
      <w:r w:rsidRPr="004A57F6">
        <w:rPr>
          <w:rFonts w:ascii="Times New Roman" w:hAnsi="Times New Roman" w:cs="Times New Roman"/>
          <w:b/>
          <w:bCs/>
          <w:sz w:val="24"/>
          <w:szCs w:val="24"/>
        </w:rPr>
        <w:t>K</w:t>
      </w:r>
      <w:r w:rsidR="008817EF">
        <w:rPr>
          <w:rFonts w:ascii="Times New Roman" w:hAnsi="Times New Roman" w:cs="Times New Roman"/>
          <w:b/>
          <w:bCs/>
          <w:sz w:val="24"/>
          <w:szCs w:val="24"/>
        </w:rPr>
        <w:t>ebijakan</w:t>
      </w:r>
      <w:r w:rsidRPr="004A57F6">
        <w:rPr>
          <w:rFonts w:ascii="Times New Roman" w:hAnsi="Times New Roman" w:cs="Times New Roman"/>
          <w:b/>
          <w:bCs/>
          <w:sz w:val="24"/>
          <w:szCs w:val="24"/>
        </w:rPr>
        <w:t xml:space="preserve"> S</w:t>
      </w:r>
      <w:r w:rsidR="008817EF">
        <w:rPr>
          <w:rFonts w:ascii="Times New Roman" w:hAnsi="Times New Roman" w:cs="Times New Roman"/>
          <w:b/>
          <w:bCs/>
          <w:sz w:val="24"/>
          <w:szCs w:val="24"/>
        </w:rPr>
        <w:t>istem</w:t>
      </w:r>
      <w:r w:rsidRPr="004A57F6">
        <w:rPr>
          <w:rFonts w:ascii="Times New Roman" w:hAnsi="Times New Roman" w:cs="Times New Roman"/>
          <w:b/>
          <w:bCs/>
          <w:sz w:val="24"/>
          <w:szCs w:val="24"/>
        </w:rPr>
        <w:t xml:space="preserve"> M</w:t>
      </w:r>
      <w:r w:rsidR="008817EF">
        <w:rPr>
          <w:rFonts w:ascii="Times New Roman" w:hAnsi="Times New Roman" w:cs="Times New Roman"/>
          <w:b/>
          <w:bCs/>
          <w:sz w:val="24"/>
          <w:szCs w:val="24"/>
        </w:rPr>
        <w:t>oneter</w:t>
      </w:r>
      <w:r w:rsidRPr="004A57F6">
        <w:rPr>
          <w:rFonts w:ascii="Times New Roman" w:hAnsi="Times New Roman" w:cs="Times New Roman"/>
          <w:b/>
          <w:bCs/>
          <w:sz w:val="24"/>
          <w:szCs w:val="24"/>
        </w:rPr>
        <w:t xml:space="preserve"> I</w:t>
      </w:r>
      <w:r w:rsidR="008817EF">
        <w:rPr>
          <w:rFonts w:ascii="Times New Roman" w:hAnsi="Times New Roman" w:cs="Times New Roman"/>
          <w:b/>
          <w:bCs/>
          <w:sz w:val="24"/>
          <w:szCs w:val="24"/>
        </w:rPr>
        <w:t>slam</w:t>
      </w:r>
      <w:r w:rsidRPr="004A57F6">
        <w:rPr>
          <w:rFonts w:ascii="Times New Roman" w:hAnsi="Times New Roman" w:cs="Times New Roman"/>
          <w:b/>
          <w:bCs/>
          <w:sz w:val="24"/>
          <w:szCs w:val="24"/>
        </w:rPr>
        <w:t xml:space="preserve"> </w:t>
      </w:r>
      <w:r w:rsidR="008817EF">
        <w:rPr>
          <w:rFonts w:ascii="Times New Roman" w:hAnsi="Times New Roman" w:cs="Times New Roman"/>
          <w:b/>
          <w:bCs/>
          <w:sz w:val="24"/>
          <w:szCs w:val="24"/>
        </w:rPr>
        <w:t>dan</w:t>
      </w:r>
      <w:r w:rsidRPr="004A57F6">
        <w:rPr>
          <w:rFonts w:ascii="Times New Roman" w:hAnsi="Times New Roman" w:cs="Times New Roman"/>
          <w:b/>
          <w:bCs/>
          <w:sz w:val="24"/>
          <w:szCs w:val="24"/>
        </w:rPr>
        <w:t xml:space="preserve"> P</w:t>
      </w:r>
      <w:r w:rsidR="008817EF">
        <w:rPr>
          <w:rFonts w:ascii="Times New Roman" w:hAnsi="Times New Roman" w:cs="Times New Roman"/>
          <w:b/>
          <w:bCs/>
          <w:sz w:val="24"/>
          <w:szCs w:val="24"/>
        </w:rPr>
        <w:t>embangunan</w:t>
      </w:r>
      <w:r w:rsidRPr="004A57F6">
        <w:rPr>
          <w:rFonts w:ascii="Times New Roman" w:hAnsi="Times New Roman" w:cs="Times New Roman"/>
          <w:b/>
          <w:bCs/>
          <w:sz w:val="24"/>
          <w:szCs w:val="24"/>
        </w:rPr>
        <w:t xml:space="preserve"> E</w:t>
      </w:r>
      <w:r w:rsidR="008817EF">
        <w:rPr>
          <w:rFonts w:ascii="Times New Roman" w:hAnsi="Times New Roman" w:cs="Times New Roman"/>
          <w:b/>
          <w:bCs/>
          <w:sz w:val="24"/>
          <w:szCs w:val="24"/>
        </w:rPr>
        <w:t>konomi</w:t>
      </w:r>
      <w:r w:rsidR="00682AE4">
        <w:rPr>
          <w:rFonts w:ascii="Times New Roman" w:hAnsi="Times New Roman" w:cs="Times New Roman"/>
          <w:b/>
          <w:bCs/>
          <w:sz w:val="24"/>
          <w:szCs w:val="24"/>
        </w:rPr>
        <w:t xml:space="preserve"> </w:t>
      </w:r>
      <w:r w:rsidRPr="004A57F6">
        <w:rPr>
          <w:rFonts w:ascii="Times New Roman" w:hAnsi="Times New Roman" w:cs="Times New Roman"/>
          <w:b/>
          <w:bCs/>
          <w:sz w:val="24"/>
          <w:szCs w:val="24"/>
        </w:rPr>
        <w:t>B</w:t>
      </w:r>
      <w:r w:rsidR="008817EF">
        <w:rPr>
          <w:rFonts w:ascii="Times New Roman" w:hAnsi="Times New Roman" w:cs="Times New Roman"/>
          <w:b/>
          <w:bCs/>
          <w:sz w:val="24"/>
          <w:szCs w:val="24"/>
        </w:rPr>
        <w:t>erkelanjutan</w:t>
      </w:r>
    </w:p>
    <w:p w14:paraId="26D698AB" w14:textId="77777777" w:rsidR="00FA3DD9" w:rsidRDefault="00FA3DD9" w:rsidP="00FA3DD9">
      <w:pPr>
        <w:spacing w:line="240" w:lineRule="auto"/>
        <w:jc w:val="center"/>
        <w:rPr>
          <w:rFonts w:ascii="Times New Roman" w:hAnsi="Times New Roman" w:cs="Times New Roman"/>
          <w:b/>
          <w:bCs/>
          <w:sz w:val="24"/>
          <w:szCs w:val="24"/>
        </w:rPr>
      </w:pPr>
    </w:p>
    <w:p w14:paraId="4C7A33E5" w14:textId="0E6B0FDD" w:rsidR="00682AE4" w:rsidRPr="00B4113D" w:rsidRDefault="00DB4807" w:rsidP="00FA3DD9">
      <w:pPr>
        <w:spacing w:line="240" w:lineRule="auto"/>
        <w:jc w:val="center"/>
        <w:rPr>
          <w:rFonts w:ascii="Times New Roman" w:hAnsi="Times New Roman" w:cs="Times New Roman"/>
        </w:rPr>
      </w:pPr>
      <w:r w:rsidRPr="00B4113D">
        <w:rPr>
          <w:rFonts w:ascii="Times New Roman" w:hAnsi="Times New Roman" w:cs="Times New Roman"/>
        </w:rPr>
        <w:t>Nama Penulis:</w:t>
      </w:r>
      <w:r w:rsidR="00682AE4" w:rsidRPr="00B4113D">
        <w:rPr>
          <w:rFonts w:ascii="Times New Roman" w:hAnsi="Times New Roman" w:cs="Times New Roman"/>
          <w:vertAlign w:val="superscript"/>
        </w:rPr>
        <w:t>1</w:t>
      </w:r>
      <w:r w:rsidR="00682AE4" w:rsidRPr="00B4113D">
        <w:rPr>
          <w:rFonts w:ascii="Times New Roman" w:hAnsi="Times New Roman" w:cs="Times New Roman"/>
        </w:rPr>
        <w:t xml:space="preserve">Rudiansyah, </w:t>
      </w:r>
      <w:r w:rsidR="00682AE4" w:rsidRPr="00B4113D">
        <w:rPr>
          <w:rFonts w:ascii="Times New Roman" w:hAnsi="Times New Roman" w:cs="Times New Roman"/>
          <w:vertAlign w:val="superscript"/>
        </w:rPr>
        <w:t>2</w:t>
      </w:r>
      <w:r w:rsidR="00682AE4" w:rsidRPr="00B4113D">
        <w:rPr>
          <w:rFonts w:ascii="Times New Roman" w:hAnsi="Times New Roman" w:cs="Times New Roman"/>
        </w:rPr>
        <w:t>Atif Naufal Yusti Lanang</w:t>
      </w:r>
    </w:p>
    <w:p w14:paraId="46A66381" w14:textId="6AF9A9F4" w:rsidR="00FA3DD9" w:rsidRPr="00FA3DD9" w:rsidRDefault="00FA3DD9" w:rsidP="00FA3DD9">
      <w:pPr>
        <w:spacing w:line="240" w:lineRule="auto"/>
        <w:jc w:val="center"/>
        <w:rPr>
          <w:rFonts w:ascii="Times New Roman" w:hAnsi="Times New Roman" w:cs="Times New Roman"/>
          <w:sz w:val="18"/>
          <w:szCs w:val="18"/>
        </w:rPr>
      </w:pPr>
      <w:r w:rsidRPr="00FA3DD9">
        <w:rPr>
          <w:rFonts w:ascii="Times New Roman" w:hAnsi="Times New Roman" w:cs="Times New Roman"/>
          <w:sz w:val="18"/>
          <w:szCs w:val="18"/>
        </w:rPr>
        <w:t>Institut Agama Islam Negeri Pontianak; Jl. Letjen Suprapto No.14 Benua Melayu Darat, Kec. Pontianak Sel; Kota Pontianak, Kalimantan Barat 78243, (0561) 740601</w:t>
      </w:r>
    </w:p>
    <w:p w14:paraId="710FB77D" w14:textId="77777777" w:rsidR="009B20D2" w:rsidRPr="009B20D2" w:rsidRDefault="009B20D2" w:rsidP="00FA3DD9">
      <w:pPr>
        <w:pBdr>
          <w:bottom w:val="single" w:sz="4" w:space="1" w:color="auto"/>
        </w:pBdr>
        <w:spacing w:line="240" w:lineRule="auto"/>
        <w:jc w:val="center"/>
        <w:rPr>
          <w:rFonts w:ascii="Times New Roman" w:hAnsi="Times New Roman" w:cs="Times New Roman"/>
          <w:sz w:val="20"/>
          <w:szCs w:val="20"/>
        </w:rPr>
      </w:pPr>
    </w:p>
    <w:p w14:paraId="1B19F54B" w14:textId="6C1B25B1" w:rsidR="00B61D4E" w:rsidRPr="004A4DD1" w:rsidRDefault="00B61D4E" w:rsidP="008817EF">
      <w:pPr>
        <w:spacing w:line="240" w:lineRule="auto"/>
        <w:rPr>
          <w:rFonts w:ascii="Times New Roman" w:hAnsi="Times New Roman" w:cs="Times New Roman"/>
          <w:b/>
          <w:bCs/>
          <w:i/>
          <w:iCs/>
          <w:color w:val="000000"/>
          <w:sz w:val="20"/>
          <w:szCs w:val="20"/>
          <w:lang w:val="fi-FI"/>
        </w:rPr>
      </w:pPr>
      <w:r w:rsidRPr="004A4DD1">
        <w:rPr>
          <w:rFonts w:ascii="Times New Roman" w:hAnsi="Times New Roman" w:cs="Times New Roman"/>
          <w:b/>
          <w:bCs/>
          <w:i/>
          <w:iCs/>
          <w:color w:val="000000"/>
          <w:sz w:val="20"/>
          <w:szCs w:val="20"/>
          <w:lang w:val="fi-FI"/>
        </w:rPr>
        <w:t>Abstract</w:t>
      </w:r>
    </w:p>
    <w:p w14:paraId="3734E6B0" w14:textId="4B40DD9A" w:rsidR="009B20D2" w:rsidRPr="004A4DD1" w:rsidRDefault="00B61D4E" w:rsidP="00FA3DD9">
      <w:pPr>
        <w:spacing w:line="240" w:lineRule="auto"/>
        <w:jc w:val="both"/>
        <w:rPr>
          <w:rFonts w:ascii="Times New Roman" w:hAnsi="Times New Roman" w:cs="Times New Roman"/>
          <w:i/>
          <w:iCs/>
          <w:sz w:val="20"/>
          <w:szCs w:val="20"/>
        </w:rPr>
      </w:pPr>
      <w:r w:rsidRPr="004A4DD1">
        <w:rPr>
          <w:rFonts w:ascii="Times New Roman" w:hAnsi="Times New Roman" w:cs="Times New Roman"/>
          <w:i/>
          <w:iCs/>
          <w:sz w:val="20"/>
          <w:szCs w:val="20"/>
        </w:rPr>
        <w:t>The monetary system in Islamic economics plays a crucial role in supporting economic stability and social justice. Islamic monetary policy is designed to balance economic growth with fair wealth distribution, avoiding practices involving riba (usury), gharar (uncertainty), and maysir (gambling). This study examines key concepts in Islamic monetary policy, such as value-based currency management, zakat as a wealth redistribution instrument, and the role of Islamic financial institutions in economic development. The research also explores the contribution of the Islamic monetary system to economic development through financial stability, financial inclusion, and the reduction of social inequality. Based on theoretical and empirical analysis, the study concludes that consistent implementation of Islamic monetary policies can promote sustainable economic growth while fostering a more equitable and prosperous society.</w:t>
      </w:r>
    </w:p>
    <w:p w14:paraId="065C6DAB" w14:textId="77777777" w:rsidR="00FA3DD9" w:rsidRPr="00FA3DD9" w:rsidRDefault="00FA3DD9" w:rsidP="00FA3DD9">
      <w:pPr>
        <w:spacing w:line="240" w:lineRule="auto"/>
        <w:jc w:val="both"/>
        <w:rPr>
          <w:rFonts w:ascii="Times New Roman" w:hAnsi="Times New Roman" w:cs="Times New Roman"/>
          <w:b/>
          <w:i/>
          <w:color w:val="000000"/>
          <w:sz w:val="18"/>
          <w:szCs w:val="18"/>
        </w:rPr>
      </w:pPr>
      <w:r w:rsidRPr="00FA3DD9">
        <w:rPr>
          <w:rFonts w:ascii="Times New Roman" w:hAnsi="Times New Roman" w:cs="Times New Roman"/>
          <w:b/>
          <w:i/>
          <w:color w:val="000000"/>
          <w:sz w:val="18"/>
          <w:szCs w:val="18"/>
          <w:lang w:val="fi-FI"/>
        </w:rPr>
        <w:t>Keyword</w:t>
      </w:r>
      <w:r w:rsidRPr="00FA3DD9">
        <w:rPr>
          <w:rFonts w:ascii="Times New Roman" w:hAnsi="Times New Roman" w:cs="Times New Roman"/>
          <w:b/>
          <w:i/>
          <w:color w:val="000000"/>
          <w:sz w:val="18"/>
          <w:szCs w:val="18"/>
          <w:lang w:val="id-ID"/>
        </w:rPr>
        <w:t>s:</w:t>
      </w:r>
      <w:r>
        <w:rPr>
          <w:rFonts w:ascii="Times New Roman" w:hAnsi="Times New Roman" w:cs="Times New Roman"/>
          <w:b/>
          <w:i/>
          <w:color w:val="000000"/>
          <w:sz w:val="18"/>
          <w:szCs w:val="18"/>
          <w:lang w:val="id-ID"/>
        </w:rPr>
        <w:t xml:space="preserve"> </w:t>
      </w:r>
      <w:r w:rsidRPr="008817EF">
        <w:rPr>
          <w:rFonts w:ascii="Times New Roman" w:hAnsi="Times New Roman" w:cs="Times New Roman"/>
          <w:b/>
          <w:i/>
          <w:color w:val="000000"/>
          <w:sz w:val="18"/>
          <w:szCs w:val="18"/>
          <w:lang w:val="en"/>
        </w:rPr>
        <w:t>Policy, Islamic Monetary, Development, Sustainable Economy</w:t>
      </w:r>
    </w:p>
    <w:p w14:paraId="58B953B5" w14:textId="77777777" w:rsidR="009B20D2" w:rsidRPr="00682AE4" w:rsidRDefault="009B20D2" w:rsidP="00FA3DD9">
      <w:pPr>
        <w:pBdr>
          <w:bottom w:val="single" w:sz="4" w:space="1" w:color="auto"/>
        </w:pBdr>
        <w:spacing w:line="240" w:lineRule="auto"/>
        <w:jc w:val="center"/>
        <w:rPr>
          <w:rFonts w:ascii="Times New Roman" w:hAnsi="Times New Roman" w:cs="Times New Roman"/>
          <w:sz w:val="24"/>
          <w:szCs w:val="24"/>
        </w:rPr>
      </w:pPr>
    </w:p>
    <w:p w14:paraId="2051A9B0" w14:textId="2F5A723F" w:rsidR="00C6734A" w:rsidRPr="004A57F6" w:rsidRDefault="00C6734A" w:rsidP="00FA3DD9">
      <w:pPr>
        <w:pStyle w:val="ListParagraph"/>
        <w:numPr>
          <w:ilvl w:val="0"/>
          <w:numId w:val="31"/>
        </w:numPr>
        <w:spacing w:line="240" w:lineRule="auto"/>
        <w:jc w:val="both"/>
        <w:rPr>
          <w:rFonts w:ascii="Times New Roman" w:hAnsi="Times New Roman" w:cs="Times New Roman"/>
          <w:b/>
          <w:bCs/>
          <w:sz w:val="24"/>
          <w:szCs w:val="24"/>
        </w:rPr>
      </w:pPr>
      <w:r w:rsidRPr="004A57F6">
        <w:rPr>
          <w:rFonts w:ascii="Times New Roman" w:hAnsi="Times New Roman" w:cs="Times New Roman"/>
          <w:b/>
          <w:bCs/>
          <w:sz w:val="24"/>
          <w:szCs w:val="24"/>
        </w:rPr>
        <w:t>Pe</w:t>
      </w:r>
      <w:r w:rsidR="00DB4807">
        <w:rPr>
          <w:rFonts w:ascii="Times New Roman" w:hAnsi="Times New Roman" w:cs="Times New Roman"/>
          <w:b/>
          <w:bCs/>
          <w:sz w:val="24"/>
          <w:szCs w:val="24"/>
        </w:rPr>
        <w:t>ndahuluan.</w:t>
      </w:r>
    </w:p>
    <w:p w14:paraId="30A8E1A7" w14:textId="77777777" w:rsidR="002B0268" w:rsidRDefault="00C6734A" w:rsidP="002B0268">
      <w:pPr>
        <w:pStyle w:val="NoSpacing"/>
        <w:ind w:firstLine="360"/>
        <w:jc w:val="both"/>
        <w:rPr>
          <w:rFonts w:ascii="Times New Roman" w:hAnsi="Times New Roman" w:cs="Times New Roman"/>
          <w:sz w:val="20"/>
          <w:szCs w:val="20"/>
        </w:rPr>
      </w:pPr>
      <w:r w:rsidRPr="008817EF">
        <w:rPr>
          <w:rFonts w:ascii="Times New Roman" w:hAnsi="Times New Roman" w:cs="Times New Roman"/>
          <w:sz w:val="20"/>
          <w:szCs w:val="20"/>
        </w:rPr>
        <w:t xml:space="preserve">Kebijakan moneter adalah salah satu alat utama dalam mengatur ekonomi suatu negara, bertanggung jawab atas pengelolaan suplai uang, suku bunga, dan kegiatan perbankan. Secara umum, bank sentral mengembangkan kebijakan moneter dengan tujuan spesifik, seperti mengontrol tingkat inflasi, mendorong pertumbuhan ekonomi, dan menjaga stabilitas sistem keuangan. Fokus utama dari kebijakan moneter adalah pengaruhnya terhadap tingkat suku bunga, yang berdampak langsung pada keputusan investasi, konsumsi, dan tabungan di dalam perekonomian. Kebijakan moneter menggunakan sejumlah instrumen untuk mencapai tujuan-tujuan ini. Salah satu instrumen utama adalah perubahan biaya pinjaman acuan, yang dapat digunakan oleh bank nasional untuk mengelola pergerakan keuangan. Menurunkan suku bunga dapat merangsang pinjaman dan investasi karena biaya pinjaman menjadi lebih rendah, sehingga mempercepat pertumbuhan ekonomi. Sebaliknya, menaikkan suku bunga dapat membantu mengendalikan inflasi dengan mengurangi pengeluaran dan memperlambat pertumbuhan ekonomi guna mencegah overheating. </w:t>
      </w:r>
    </w:p>
    <w:p w14:paraId="76C8A1B0" w14:textId="77777777" w:rsidR="002B0268" w:rsidRDefault="00C6734A" w:rsidP="002B0268">
      <w:pPr>
        <w:pStyle w:val="NoSpacing"/>
        <w:ind w:firstLine="360"/>
        <w:jc w:val="both"/>
        <w:rPr>
          <w:rFonts w:ascii="Times New Roman" w:hAnsi="Times New Roman" w:cs="Times New Roman"/>
          <w:sz w:val="20"/>
          <w:szCs w:val="20"/>
        </w:rPr>
      </w:pPr>
      <w:r w:rsidRPr="008817EF">
        <w:rPr>
          <w:rFonts w:ascii="Times New Roman" w:hAnsi="Times New Roman" w:cs="Times New Roman"/>
          <w:sz w:val="20"/>
          <w:szCs w:val="20"/>
        </w:rPr>
        <w:t xml:space="preserve">Operasi pasar terbuka, dimana bank sentral membeli atau menjual sekuritas pemerintah, adalah alat lain yang digunakan bank sentral untuk mengendalikan suku bunga jangka pendek dan mengatur likuiditas pasar. Alat lain yang digunakan bank sentral untuk mempengaruhi likuiditas pasar dan ketersediaan kredit adalah penetapan giro wajib minimum untuk bank-bank komersial. Kebijakan moneter memainkan peran penting dalam upaya untuk mencapai pertumbuhan ekonomi yang berkelanjutan yang seimbang dan berjangka panjang. Terutama, dalam konteks ekonomi syariah, kebijakan moneter harus mempertimbangkan tidak hanya faktor-faktor ekonomi makro, tetapi juga nilai-nilai etika, distribusi pendapatan, pelestarian lingkungan, dan kesejahteraan sosial. </w:t>
      </w:r>
      <w:sdt>
        <w:sdtPr>
          <w:rPr>
            <w:rFonts w:ascii="Times New Roman" w:hAnsi="Times New Roman" w:cs="Times New Roman"/>
            <w:color w:val="000000"/>
            <w:sz w:val="20"/>
            <w:szCs w:val="20"/>
          </w:rPr>
          <w:tag w:val="MENDELEY_CITATION_v3_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"/>
          <w:id w:val="491613186"/>
          <w:placeholder>
            <w:docPart w:val="DefaultPlaceholder_-1854013440"/>
          </w:placeholder>
        </w:sdtPr>
        <w:sdtContent>
          <w:r w:rsidRPr="008817EF">
            <w:rPr>
              <w:rFonts w:ascii="Times New Roman" w:hAnsi="Times New Roman" w:cs="Times New Roman"/>
              <w:color w:val="000000"/>
              <w:sz w:val="20"/>
              <w:szCs w:val="20"/>
            </w:rPr>
            <w:t>(Safitri, Faqih, and Madura 2024)</w:t>
          </w:r>
          <w:r w:rsidR="008817EF" w:rsidRPr="008817EF">
            <w:rPr>
              <w:rFonts w:ascii="Times New Roman" w:hAnsi="Times New Roman" w:cs="Times New Roman"/>
              <w:color w:val="000000"/>
              <w:sz w:val="20"/>
              <w:szCs w:val="20"/>
            </w:rPr>
            <w:t>.</w:t>
          </w:r>
        </w:sdtContent>
      </w:sdt>
    </w:p>
    <w:p w14:paraId="153468C5" w14:textId="77777777" w:rsidR="002B0268" w:rsidRDefault="00C6734A" w:rsidP="002B0268">
      <w:pPr>
        <w:pStyle w:val="NoSpacing"/>
        <w:ind w:firstLine="360"/>
        <w:jc w:val="both"/>
        <w:rPr>
          <w:rFonts w:ascii="Times New Roman" w:hAnsi="Times New Roman" w:cs="Times New Roman"/>
          <w:sz w:val="20"/>
          <w:szCs w:val="20"/>
        </w:rPr>
      </w:pPr>
      <w:r w:rsidRPr="008817EF">
        <w:rPr>
          <w:rFonts w:ascii="Times New Roman" w:hAnsi="Times New Roman" w:cs="Times New Roman"/>
          <w:sz w:val="20"/>
          <w:szCs w:val="20"/>
        </w:rPr>
        <w:t>Pemerintah menerapkan sebuah ketentuan atau kebijakan yang berencana untuk mengendalikan kestabilan ekonomi, politik, sosial budaya, dan pertahanan dalam negeri guna mewujudkan kesejahteraan seluruh rakyat di setiap negara yang baru terpilih. Pendirian bank sentral, khususnya melalui depresiasi mata uang dan suku bunga, serta implementasi rencana tersebut, merupakan aspek dari kebangkitan kembali program pembangunan moneter otoritas. Dalam perekonomian, mata uang sangat penting, dan diharapkan hal ini akan memungkinkan fokus pada stabilitas harga dan peningkatan output.</w:t>
      </w:r>
    </w:p>
    <w:p w14:paraId="0B40A151" w14:textId="49796536" w:rsidR="002B0268" w:rsidRDefault="00C6734A" w:rsidP="002B0268">
      <w:pPr>
        <w:pStyle w:val="NoSpacing"/>
        <w:ind w:firstLine="360"/>
        <w:jc w:val="both"/>
        <w:rPr>
          <w:rFonts w:ascii="Times New Roman" w:hAnsi="Times New Roman" w:cs="Times New Roman"/>
          <w:sz w:val="20"/>
          <w:szCs w:val="20"/>
        </w:rPr>
      </w:pPr>
      <w:r w:rsidRPr="008817EF">
        <w:rPr>
          <w:rFonts w:ascii="Times New Roman" w:hAnsi="Times New Roman" w:cs="Times New Roman"/>
          <w:sz w:val="20"/>
          <w:szCs w:val="20"/>
        </w:rPr>
        <w:t xml:space="preserve">Tujuan dari kebijakan moneter Islam, yang merupakan komponen dari bentuk ekonomi syariah, adalah mempromosikan keseimbangan dan kemakmuran. Maqashid Syariah menjunjung tinggi keseimbangan (Iqamah al 'Adl), dengan memberikan keadilan pada segala kawasan kehidupan manusia, serta memperoleh kemaslahatan (Jalb al Maslahah), yaitu memperoleh kemaslahatan umum, tidak kemaslahatan tertentu bagi pemerintah yang bersangkutan. Dalam situasi ini, kebijakan moneter menjadi faktor krusial dalam ketidakstabilan sistem ekonomi makro. Perekonomian yang stabil akan dicapai melalui kebijakan moneter yang sehat melalui mekanisme yang secara efektif mentransmisikan informasi tentang harga dan output, untuk gilirannya memiliki faktor pengganda </w:t>
      </w:r>
      <w:r w:rsidRPr="008817EF">
        <w:rPr>
          <w:rFonts w:ascii="Times New Roman" w:hAnsi="Times New Roman" w:cs="Times New Roman"/>
          <w:sz w:val="20"/>
          <w:szCs w:val="20"/>
        </w:rPr>
        <w:lastRenderedPageBreak/>
        <w:t xml:space="preserve">pada bagian yang berbeda seperti biaya pekerja. Demikian pula, bentuk moneter yang tidak stabil bisa memperparah persoalan inflasi. </w:t>
      </w:r>
      <w:sdt>
        <w:sdtPr>
          <w:rPr>
            <w:rFonts w:ascii="Times New Roman" w:hAnsi="Times New Roman" w:cs="Times New Roman"/>
            <w:color w:val="000000"/>
            <w:sz w:val="20"/>
            <w:szCs w:val="20"/>
          </w:rPr>
          <w:tag w:val="MENDELEY_CITATION_v3_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"/>
          <w:id w:val="95216670"/>
          <w:placeholder>
            <w:docPart w:val="DefaultPlaceholder_-1854013440"/>
          </w:placeholder>
        </w:sdtPr>
        <w:sdtContent>
          <w:r w:rsidRPr="008817EF">
            <w:rPr>
              <w:rFonts w:ascii="Times New Roman" w:hAnsi="Times New Roman" w:cs="Times New Roman"/>
              <w:color w:val="000000"/>
              <w:sz w:val="20"/>
              <w:szCs w:val="20"/>
            </w:rPr>
            <w:t>(Marasabessy 2022)</w:t>
          </w:r>
          <w:r w:rsidR="002B0268">
            <w:rPr>
              <w:rFonts w:ascii="Times New Roman" w:hAnsi="Times New Roman" w:cs="Times New Roman"/>
              <w:color w:val="000000"/>
              <w:sz w:val="20"/>
              <w:szCs w:val="20"/>
            </w:rPr>
            <w:t>.</w:t>
          </w:r>
        </w:sdtContent>
      </w:sdt>
    </w:p>
    <w:p w14:paraId="0459B5F4" w14:textId="00A61588" w:rsidR="002B0268" w:rsidRDefault="00C6734A" w:rsidP="002B0268">
      <w:pPr>
        <w:pStyle w:val="NoSpacing"/>
        <w:ind w:firstLine="360"/>
        <w:jc w:val="both"/>
        <w:rPr>
          <w:rFonts w:ascii="Times New Roman" w:hAnsi="Times New Roman" w:cs="Times New Roman"/>
          <w:sz w:val="20"/>
          <w:szCs w:val="20"/>
        </w:rPr>
      </w:pPr>
      <w:r w:rsidRPr="008817EF">
        <w:rPr>
          <w:rFonts w:ascii="Times New Roman" w:hAnsi="Times New Roman" w:cs="Times New Roman"/>
          <w:sz w:val="20"/>
          <w:szCs w:val="20"/>
        </w:rPr>
        <w:t xml:space="preserve">Ada baiknya kita mengetahui secara garis besar tentang tujuan kebijakan ekonomi dalam perspektif ekonomi Islam. Pertama, tujuan kebijakan ekonomi yang paling mendasar dan fundamental adalah untuk menegakkan Islam di setiap aspek kehidupan masyarakat di dalam Negara dan menyebarkan syi’ar Islam di dunia serta mempertahankan Negara dan rakyat dari serangan musuh. Kedua, membantu tercapainya tingkat pembangunan dan pertumbuhan ekonomi yang tinggi yang berperan penting dalam tercapainya kesejahteraan dan kemakmuran ekonomi rakyat serta mewujudkan kewajiban Negara yang diantaranya yaitu: Pertama, menjamin kesejahteraan ekonomi kepada rakyat baik berupa penyediaan lapangan pekerjaan, pemenuhan kebutuhan dasar hidup bagi setiap individu yang berupa sandana, pangan dan papan serta pendidikan dan kesehatan. Kedua, melaksanakan disiplin dan administrasi yang berorientasi pada kesejahteraan ekonomi Negara termasuk mengintensifkan peran lembaga Hisbah di dalam ekonomi. Ketiga, sebagai akibat dari tujuan kebijakan ekonomi yang kedua adalah mengoptimalkan penggunaan sumber daya ekonomi baik sumber daya manusia maupun sumber daya alam. </w:t>
      </w:r>
      <w:sdt>
        <w:sdtPr>
          <w:rPr>
            <w:rFonts w:ascii="Times New Roman" w:hAnsi="Times New Roman" w:cs="Times New Roman"/>
            <w:color w:val="000000"/>
            <w:sz w:val="20"/>
            <w:szCs w:val="20"/>
          </w:rPr>
          <w:tag w:val="MENDELEY_CITATION_v3_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"/>
          <w:id w:val="-714735149"/>
          <w:placeholder>
            <w:docPart w:val="DefaultPlaceholder_-1854013440"/>
          </w:placeholder>
        </w:sdtPr>
        <w:sdtContent>
          <w:r w:rsidRPr="008817EF">
            <w:rPr>
              <w:rFonts w:ascii="Times New Roman" w:hAnsi="Times New Roman" w:cs="Times New Roman"/>
              <w:color w:val="000000"/>
              <w:sz w:val="20"/>
              <w:szCs w:val="20"/>
            </w:rPr>
            <w:t>(Mansur 2013)</w:t>
          </w:r>
          <w:r w:rsidR="002B0268">
            <w:rPr>
              <w:rFonts w:ascii="Times New Roman" w:hAnsi="Times New Roman" w:cs="Times New Roman"/>
              <w:color w:val="000000"/>
              <w:sz w:val="20"/>
              <w:szCs w:val="20"/>
            </w:rPr>
            <w:t>.</w:t>
          </w:r>
        </w:sdtContent>
      </w:sdt>
    </w:p>
    <w:p w14:paraId="334D57DA" w14:textId="77777777" w:rsidR="002B0268" w:rsidRDefault="00C6734A" w:rsidP="002B0268">
      <w:pPr>
        <w:pStyle w:val="NoSpacing"/>
        <w:ind w:firstLine="360"/>
        <w:jc w:val="both"/>
        <w:rPr>
          <w:rFonts w:ascii="Times New Roman" w:hAnsi="Times New Roman" w:cs="Times New Roman"/>
          <w:sz w:val="20"/>
          <w:szCs w:val="20"/>
        </w:rPr>
      </w:pPr>
      <w:r w:rsidRPr="008817EF">
        <w:rPr>
          <w:rFonts w:ascii="Times New Roman" w:hAnsi="Times New Roman" w:cs="Times New Roman"/>
          <w:sz w:val="20"/>
          <w:szCs w:val="20"/>
        </w:rPr>
        <w:t>Kebijakan Moneter Islam mendasarkan pendekatannya pada prinsip-prinsip ekonomi Islam yang terkandung dalam ajaran Al-Quran dan Hadis. Salah satu poin sentral dalam kebijakan ini adalah larangan terhadap praktik riba atau bunga. Dalam konteks kebijakan moneter, hal ini mengarah pada penghindaran instrumen keuangan yang melibatkan pembayaran atau penerimaan bunga, dengan dorongan untuk mengembangkan alternatif seperti prinsip bagi hasil atau sewa (Hiya, 2022).</w:t>
      </w:r>
    </w:p>
    <w:p w14:paraId="4002FC86" w14:textId="4D9E7187" w:rsidR="002B0268" w:rsidRDefault="00C6734A" w:rsidP="002B0268">
      <w:pPr>
        <w:pStyle w:val="NoSpacing"/>
        <w:ind w:firstLine="360"/>
        <w:jc w:val="both"/>
        <w:rPr>
          <w:rFonts w:ascii="Times New Roman" w:hAnsi="Times New Roman" w:cs="Times New Roman"/>
          <w:sz w:val="20"/>
          <w:szCs w:val="20"/>
        </w:rPr>
      </w:pPr>
      <w:r w:rsidRPr="008817EF">
        <w:rPr>
          <w:rFonts w:ascii="Times New Roman" w:hAnsi="Times New Roman" w:cs="Times New Roman"/>
          <w:sz w:val="20"/>
          <w:szCs w:val="20"/>
        </w:rPr>
        <w:t xml:space="preserve">Prinsip lainnya adalah pemeliharaan stabilitas nilai mata uang agar tidak terjadi fluktuasi yang merugikan masyarakat, serta upaya mendorong distribusi keadilan dalam kebijakan moneter dengan memberikan perhatian pada kelompok rentan dan mengurangi kesenjangan sosial (Anggraini &amp; Putri, 2020). Pendekatan tersebut menekankan investasi produktif dan sektor riil ekonomi daripada spekulasi, serta mengutamakan transparansi, akuntabilitas, dan pertimbangan terhadap dampak sosial dan lingkungan dari kebijakan yang diambil. Dalam praktiknya, implementasi kebijakan moneter Islam dapat bervariasi sesuai dengan konteks negara, namun prinsip-prinsip ini tetap menjadi landasan untuk menciptakan kerangka kebijakan moneter yang sesuai dengan nilai-nilai ekonomi Islam yang dijunjung tinggi (Hakim, 2016). </w:t>
      </w:r>
      <w:sdt>
        <w:sdtPr>
          <w:rPr>
            <w:rFonts w:ascii="Times New Roman" w:hAnsi="Times New Roman" w:cs="Times New Roman"/>
            <w:color w:val="000000"/>
            <w:sz w:val="20"/>
            <w:szCs w:val="20"/>
          </w:rPr>
          <w:tag w:val="MENDELEY_CITATION_v3_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"/>
          <w:id w:val="570161040"/>
          <w:placeholder>
            <w:docPart w:val="DefaultPlaceholder_-1854013440"/>
          </w:placeholder>
        </w:sdtPr>
        <w:sdtContent>
          <w:r w:rsidRPr="008817EF">
            <w:rPr>
              <w:rFonts w:ascii="Times New Roman" w:hAnsi="Times New Roman" w:cs="Times New Roman"/>
              <w:color w:val="000000"/>
              <w:sz w:val="20"/>
              <w:szCs w:val="20"/>
            </w:rPr>
            <w:t>(Alwaris and Hasan 2023)</w:t>
          </w:r>
          <w:r w:rsidR="002B0268">
            <w:rPr>
              <w:rFonts w:ascii="Times New Roman" w:hAnsi="Times New Roman" w:cs="Times New Roman"/>
              <w:color w:val="000000"/>
              <w:sz w:val="20"/>
              <w:szCs w:val="20"/>
            </w:rPr>
            <w:t>.</w:t>
          </w:r>
        </w:sdtContent>
      </w:sdt>
    </w:p>
    <w:p w14:paraId="7FE6368A" w14:textId="77777777" w:rsidR="002B0268" w:rsidRDefault="00C6734A" w:rsidP="002B0268">
      <w:pPr>
        <w:pStyle w:val="NoSpacing"/>
        <w:ind w:firstLine="360"/>
        <w:jc w:val="both"/>
        <w:rPr>
          <w:rFonts w:ascii="Times New Roman" w:hAnsi="Times New Roman" w:cs="Times New Roman"/>
          <w:sz w:val="20"/>
          <w:szCs w:val="20"/>
        </w:rPr>
      </w:pPr>
      <w:r w:rsidRPr="008817EF">
        <w:rPr>
          <w:rFonts w:ascii="Times New Roman" w:hAnsi="Times New Roman" w:cs="Times New Roman"/>
          <w:sz w:val="20"/>
          <w:szCs w:val="20"/>
        </w:rPr>
        <w:t xml:space="preserve">Pembangunan Berkelanjutan (Sustainability Development) merupakan konsep yang dibangun atas dua landasan penting yaitu Pembangunan (Development) dan Berkelanjutan (Sustainable). Beberapa ahli ekonomi termasuk neoklasik mengatakan bahwa kedua konsep itu sejajar, tidak ada pembangunan jika tidak ada keberkelanjutannya dan tidak ada sesuatu yang berkelanjutan tanpa adanya pembangunan. Development merupakan proses peningkatan atau perbaikan baik secara kualitatif maupun kuantitatit atau keduanya dalam penggunaan sumber daya yang tersedia. Pembangunan tidak hanya menitikberatkan pada pembaharuan terhadap satu aspek saja seperti sosial, politik atau ekonomi, tetapi sebaliknya ini merupakan istilah yang diadopsi guna transformasi di berbagai bidang secara bersama dari kondisi yang ada sekarang mengarah kepada kondisi yang diinginkan (yang lebih baik). </w:t>
      </w:r>
      <w:sdt>
        <w:sdtPr>
          <w:rPr>
            <w:rFonts w:ascii="Times New Roman" w:hAnsi="Times New Roman" w:cs="Times New Roman"/>
            <w:color w:val="000000"/>
            <w:sz w:val="20"/>
            <w:szCs w:val="20"/>
          </w:rPr>
          <w:tag w:val="MENDELEY_CITATION_v3_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"/>
          <w:id w:val="1809057562"/>
          <w:placeholder>
            <w:docPart w:val="DefaultPlaceholder_-1854013440"/>
          </w:placeholder>
        </w:sdtPr>
        <w:sdtContent>
          <w:r w:rsidRPr="008817EF">
            <w:rPr>
              <w:rFonts w:ascii="Times New Roman" w:hAnsi="Times New Roman" w:cs="Times New Roman"/>
              <w:color w:val="000000"/>
              <w:sz w:val="20"/>
              <w:szCs w:val="20"/>
            </w:rPr>
            <w:t>(Yunita and Astuti 2024)</w:t>
          </w:r>
        </w:sdtContent>
      </w:sdt>
    </w:p>
    <w:p w14:paraId="195F578E" w14:textId="7537FCB2" w:rsidR="00C6734A" w:rsidRPr="008817EF" w:rsidRDefault="00C6734A" w:rsidP="002B0268">
      <w:pPr>
        <w:pStyle w:val="NoSpacing"/>
        <w:spacing w:after="240"/>
        <w:ind w:firstLine="360"/>
        <w:jc w:val="both"/>
        <w:rPr>
          <w:rFonts w:ascii="Times New Roman" w:hAnsi="Times New Roman" w:cs="Times New Roman"/>
          <w:sz w:val="20"/>
          <w:szCs w:val="20"/>
        </w:rPr>
      </w:pPr>
      <w:r w:rsidRPr="008817EF">
        <w:rPr>
          <w:rFonts w:ascii="Times New Roman" w:hAnsi="Times New Roman" w:cs="Times New Roman"/>
          <w:sz w:val="20"/>
          <w:szCs w:val="20"/>
        </w:rPr>
        <w:t xml:space="preserve">kebijakan moneter dalam mendukung pembangunan ekonomi yang berkelanjutan, terutama dalam konteks ekonomi syariah, memiliki implikasi yang sangat penting dan kompleks. Kebijakan moneter, yang mencakup pengaturan suku bunga, pengendalian inflasi, dan manajemen likuiditas, memegang peran krusial dalam mengarahkan pertumbuhan ekonomi suatu negara. Seperti dalam penelitian yang dilakukan oleh Indah Aminah Putri dkk pada tahun 2022, strategi terkait uang dan pengaruhnya terhadap peningkatan keuangan dalam survei Islam yang mengungkap bahwa pengaturan terkait uang adalah media atau tahap yang digunakan oleh bank nasional suatu negara untuk memiliki pilihan untuk mengawasi faktor-faktor Pengaturan keuangan berpusat pada pengendalian komponen moneter yang berbeda dari suatu negara, termasuk biaya pinjaman dan nilai uangnya. Stabilitas nilai mata uang adalah tujuannya, terlepas dari apakah itu dipengaruhi oleh faktor internal atau eksternal. Mencapai pemerataan yang ideal, memenuhi kebutuhan dasar, menurunkan tingkat pengangguran, mendorong ekspansi ekonomi yang sebenarnya, dan memastikan stabilitas ekonomi secara keseluruhan adalah beberapa tujuan yang terkait dengan stabilitas nilai tukar. Ini adalah contoh-contoh tujuan yang harus dicapai agar sebuah negara dapat mengeksplorasi masa depannya dengan sukses (Latifah, 2015). Serta yang dilakukan oleh Milla Naeruz pada tahun 2021 mengenai perkembangan perbankan syariah terhadap UMKM melalui kebijakan moneter menjelaskan bahwasannya Kebijakan moneter mengacu pada strategi yang diambil oleh bank sentral, seperti Bank Indonesia, dengan tujuan menjaga dan mencapai stabilitas nilai mata uang yang dapat dipertukarkan. Hal ini dicapai melalui langkah-langkah seperti mengatur volume uang yang beredar dan menetapkan tingkat suku bunga. Tindakan kebijakan ini dilakukan untuk menyesuaikan jumlah uang beredar atau mengubah suku bunga yang berlaku, sehingga menjamin stabilitas perekonomian. </w:t>
      </w:r>
      <w:sdt>
        <w:sdtPr>
          <w:rPr>
            <w:rFonts w:ascii="Times New Roman" w:hAnsi="Times New Roman" w:cs="Times New Roman"/>
            <w:color w:val="000000"/>
            <w:sz w:val="20"/>
            <w:szCs w:val="20"/>
          </w:rPr>
          <w:tag w:val="MENDELEY_CITATION_v3_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"/>
          <w:id w:val="-1150054355"/>
          <w:placeholder>
            <w:docPart w:val="DefaultPlaceholder_-1854013440"/>
          </w:placeholder>
        </w:sdtPr>
        <w:sdtContent>
          <w:r w:rsidRPr="008817EF">
            <w:rPr>
              <w:rFonts w:ascii="Times New Roman" w:hAnsi="Times New Roman" w:cs="Times New Roman"/>
              <w:color w:val="000000"/>
              <w:sz w:val="20"/>
              <w:szCs w:val="20"/>
            </w:rPr>
            <w:t>(Safitri et al. 2024)</w:t>
          </w:r>
        </w:sdtContent>
      </w:sdt>
    </w:p>
    <w:p w14:paraId="0A8EFD48" w14:textId="77777777" w:rsidR="008817EF" w:rsidRDefault="00B4113D" w:rsidP="002B0268">
      <w:pPr>
        <w:pStyle w:val="NoSpacing"/>
        <w:numPr>
          <w:ilvl w:val="0"/>
          <w:numId w:val="32"/>
        </w:numPr>
        <w:spacing w:after="240"/>
        <w:rPr>
          <w:rFonts w:ascii="Times New Roman" w:hAnsi="Times New Roman" w:cs="Times New Roman"/>
          <w:b/>
          <w:bCs/>
          <w:sz w:val="24"/>
          <w:szCs w:val="24"/>
        </w:rPr>
      </w:pPr>
      <w:r>
        <w:rPr>
          <w:rFonts w:ascii="Times New Roman" w:hAnsi="Times New Roman" w:cs="Times New Roman"/>
          <w:b/>
          <w:bCs/>
          <w:sz w:val="24"/>
          <w:szCs w:val="24"/>
        </w:rPr>
        <w:t>Kerangka Teori.</w:t>
      </w:r>
    </w:p>
    <w:p w14:paraId="03F20893" w14:textId="773FAD4B" w:rsidR="002B0268" w:rsidRDefault="00C6734A" w:rsidP="002B0268">
      <w:pPr>
        <w:pStyle w:val="NoSpacing"/>
        <w:ind w:firstLine="360"/>
        <w:jc w:val="both"/>
        <w:rPr>
          <w:rFonts w:ascii="Times New Roman" w:hAnsi="Times New Roman" w:cs="Times New Roman"/>
          <w:sz w:val="20"/>
          <w:szCs w:val="20"/>
        </w:rPr>
      </w:pPr>
      <w:r w:rsidRPr="002B0268">
        <w:rPr>
          <w:rFonts w:ascii="Times New Roman" w:hAnsi="Times New Roman" w:cs="Times New Roman"/>
          <w:sz w:val="20"/>
          <w:szCs w:val="20"/>
        </w:rPr>
        <w:lastRenderedPageBreak/>
        <w:t>Kebijakan Moneter merupakan strategi yang menyesuaikan kondisi ekonomi makro</w:t>
      </w:r>
      <w:r w:rsidRPr="008817EF">
        <w:rPr>
          <w:rFonts w:ascii="Times New Roman" w:hAnsi="Times New Roman" w:cs="Times New Roman"/>
          <w:sz w:val="24"/>
          <w:szCs w:val="24"/>
        </w:rPr>
        <w:t xml:space="preserve"> </w:t>
      </w:r>
      <w:r w:rsidRPr="008817EF">
        <w:rPr>
          <w:rFonts w:ascii="Times New Roman" w:hAnsi="Times New Roman" w:cs="Times New Roman"/>
          <w:sz w:val="20"/>
          <w:szCs w:val="20"/>
        </w:rPr>
        <w:t>agar bisa berguna sebagaimana mestinya dengan mengatur jumlah uang yang tersedia untuk diperdagangkan. Sasaran dari strategi tersebut di atas adalah untuk mencapai stabilitas harga dan inflasi serta meningkatkan keseimbangan output. Sebagian besar lingkungan perekonomian kapitalis terpaut dengan sistem bunga, menyebabkan lingkungan uang tumbuh sangat cepat daripada ekonomi riil. Karena sektor keuangan menghasilkan pendapatan lebih cepat dari sektor riil.</w:t>
      </w:r>
      <w:r w:rsidR="00283F94" w:rsidRPr="008817EF">
        <w:rPr>
          <w:rFonts w:ascii="Times New Roman" w:hAnsi="Times New Roman" w:cs="Times New Roman"/>
          <w:sz w:val="20"/>
          <w:szCs w:val="20"/>
        </w:rPr>
        <w:t xml:space="preserve"> </w:t>
      </w:r>
      <w:r w:rsidR="00283F94" w:rsidRPr="008817EF">
        <w:rPr>
          <w:rFonts w:ascii="Times New Roman" w:hAnsi="Times New Roman" w:cs="Times New Roman"/>
          <w:sz w:val="20"/>
          <w:szCs w:val="20"/>
        </w:rPr>
        <w:fldChar w:fldCharType="begin" w:fldLock="1"/>
      </w:r>
      <w:r w:rsidR="00283F94" w:rsidRPr="008817EF">
        <w:rPr>
          <w:rFonts w:ascii="Times New Roman" w:hAnsi="Times New Roman" w:cs="Times New Roman"/>
          <w:sz w:val="20"/>
          <w:szCs w:val="20"/>
        </w:rPr>
        <w:instrText>ADDIN CSL_CITATION {"citationItems":[{"id":"ITEM-1","itemData":{"DOI":"10.30984/kunuz.v3i1.601","ISSN":"2807-680X","abstract":"This study identifies monetary policy instruments that can be adopted or adapted to Islamic values to achieve the goal of controlling the circulation of money. Monetary policy has a central role in managing a country's economy, and the adoption of Islamic values in monetary policy instruments is increasingly gaining attention in the context of Islamic economics. This research uses a library approach by analyzing information sourced from articles, books, journals and various other documentation. The findings of this study explain that the adoption of Islamic values in monetary policy instruments can provide significant benefits in achieving sustainable economic goals and in accordance with Sharia principles. However, implementation challenges are also a concern, including technical aspects and a deep understanding of the principles of Islamic economics. Therefore, we propose practical guidance for monetary authorities in implementing monetary policy instruments inspired by Islamic values. Thus, contribution in formulating alternative monetary policies that integrate Islamic values with modern practices, as well as encourage the development of a more inclusive and sustainable economic system.","author":[{"dropping-particle":"","family":"Alwaris","given":"Sri Ayu Andari Putri","non-dropping-particle":"","parse-names":false,"suffix":""},{"dropping-particle":"","family":"Hasan","given":"Nugraha","non-dropping-particle":"","parse-names":false,"suffix":""}],"container-title":"Kunuz: Journal of Islamic Banking and Finance","id":"ITEM-1","issue":"1","issued":{"date-parts":[["2023"]]},"page":"65-77","title":"Adopsi Nilai-Nilai Islam pada Instrumen Kebijakan Moneter dalam Mengontrol Peredaran Uang","type":"article-journal","volume":"3"},"uris":["http://www.mendeley.com/documents/?uuid=a395b090-7cbe-4339-9d4b-35b8d0fdc77d"]}],"mendeley":{"formattedCitation":"(Alwaris and Hasan 2023)","plainTextFormattedCitation":"(Alwaris and Hasan 2023)","previouslyFormattedCitation":"(Alwaris and Hasan 2023)"},"properties":{"noteIndex":0},"schema":"https://github.com/citation-style-language/schema/raw/master/csl-citation.json"}</w:instrText>
      </w:r>
      <w:r w:rsidR="00283F94" w:rsidRPr="008817EF">
        <w:rPr>
          <w:rFonts w:ascii="Times New Roman" w:hAnsi="Times New Roman" w:cs="Times New Roman"/>
          <w:sz w:val="20"/>
          <w:szCs w:val="20"/>
        </w:rPr>
        <w:fldChar w:fldCharType="separate"/>
      </w:r>
      <w:r w:rsidR="00283F94" w:rsidRPr="008817EF">
        <w:rPr>
          <w:rFonts w:ascii="Times New Roman" w:hAnsi="Times New Roman" w:cs="Times New Roman"/>
          <w:noProof/>
          <w:sz w:val="20"/>
          <w:szCs w:val="20"/>
        </w:rPr>
        <w:t>(Alwaris and Hasan 2023)</w:t>
      </w:r>
      <w:r w:rsidR="00283F94" w:rsidRPr="008817EF">
        <w:rPr>
          <w:rFonts w:ascii="Times New Roman" w:hAnsi="Times New Roman" w:cs="Times New Roman"/>
          <w:sz w:val="20"/>
          <w:szCs w:val="20"/>
        </w:rPr>
        <w:fldChar w:fldCharType="end"/>
      </w:r>
      <w:r w:rsidR="002B0268">
        <w:rPr>
          <w:rFonts w:ascii="Times New Roman" w:hAnsi="Times New Roman" w:cs="Times New Roman"/>
          <w:sz w:val="20"/>
          <w:szCs w:val="20"/>
        </w:rPr>
        <w:t>.</w:t>
      </w:r>
    </w:p>
    <w:p w14:paraId="0FE59B9D" w14:textId="768F7CC5" w:rsidR="002B0268" w:rsidRDefault="00C6734A" w:rsidP="002B0268">
      <w:pPr>
        <w:pStyle w:val="NoSpacing"/>
        <w:ind w:firstLine="360"/>
        <w:jc w:val="both"/>
        <w:rPr>
          <w:rFonts w:ascii="Times New Roman" w:hAnsi="Times New Roman" w:cs="Times New Roman"/>
          <w:sz w:val="20"/>
          <w:szCs w:val="20"/>
        </w:rPr>
      </w:pPr>
      <w:r w:rsidRPr="008817EF">
        <w:rPr>
          <w:rFonts w:ascii="Times New Roman" w:hAnsi="Times New Roman" w:cs="Times New Roman"/>
          <w:sz w:val="20"/>
          <w:szCs w:val="20"/>
        </w:rPr>
        <w:t>Pendapat lain juga menekankan bahwa metode perubahan peredaran mata uang suatu negara adalah praktik penciptaan uang. Bank sentral suatu negara biasanya menggunakan uang partai. Menurut kepercayaan populer, alat bank sentral yang dikenal sebagai "kebijakan moneter" dipergunakan untuk mengendalikan berbagai bagian keuangan, termasuk suku bunga dan nilai tukar.</w:t>
      </w:r>
      <w:r w:rsidR="00283F94" w:rsidRPr="008817EF">
        <w:rPr>
          <w:rFonts w:ascii="Times New Roman" w:hAnsi="Times New Roman" w:cs="Times New Roman"/>
          <w:sz w:val="20"/>
          <w:szCs w:val="20"/>
        </w:rPr>
        <w:t xml:space="preserve"> </w:t>
      </w:r>
      <w:r w:rsidR="00283F94" w:rsidRPr="008817EF">
        <w:rPr>
          <w:rFonts w:ascii="Times New Roman" w:hAnsi="Times New Roman" w:cs="Times New Roman"/>
          <w:sz w:val="20"/>
          <w:szCs w:val="20"/>
        </w:rPr>
        <w:fldChar w:fldCharType="begin" w:fldLock="1"/>
      </w:r>
      <w:r w:rsidR="00283F94" w:rsidRPr="008817EF">
        <w:rPr>
          <w:rFonts w:ascii="Times New Roman" w:hAnsi="Times New Roman" w:cs="Times New Roman"/>
          <w:sz w:val="20"/>
          <w:szCs w:val="20"/>
        </w:rPr>
        <w:instrText>ADDIN CSL_CITATION {"citationItems":[{"id":"ITEM-1","itemData":{"DOI":"10.30984/kunuz.v3i1.601","ISSN":"2807-680X","abstract":"This study identifies monetary policy instruments that can be adopted or adapted to Islamic values to achieve the goal of controlling the circulation of money. Monetary policy has a central role in managing a country's economy, and the adoption of Islamic values in monetary policy instruments is increasingly gaining attention in the context of Islamic economics. This research uses a library approach by analyzing information sourced from articles, books, journals and various other documentation. The findings of this study explain that the adoption of Islamic values in monetary policy instruments can provide significant benefits in achieving sustainable economic goals and in accordance with Sharia principles. However, implementation challenges are also a concern, including technical aspects and a deep understanding of the principles of Islamic economics. Therefore, we propose practical guidance for monetary authorities in implementing monetary policy instruments inspired by Islamic values. Thus, contribution in formulating alternative monetary policies that integrate Islamic values with modern practices, as well as encourage the development of a more inclusive and sustainable economic system.","author":[{"dropping-particle":"","family":"Alwaris","given":"Sri Ayu Andari Putri","non-dropping-particle":"","parse-names":false,"suffix":""},{"dropping-particle":"","family":"Hasan","given":"Nugraha","non-dropping-particle":"","parse-names":false,"suffix":""}],"container-title":"Kunuz: Journal of Islamic Banking and Finance","id":"ITEM-1","issue":"1","issued":{"date-parts":[["2023"]]},"page":"65-77","title":"Adopsi Nilai-Nilai Islam pada Instrumen Kebijakan Moneter dalam Mengontrol Peredaran Uang","type":"article-journal","volume":"3"},"uris":["http://www.mendeley.com/documents/?uuid=a395b090-7cbe-4339-9d4b-35b8d0fdc77d"]}],"mendeley":{"formattedCitation":"(Alwaris and Hasan 2023)","plainTextFormattedCitation":"(Alwaris and Hasan 2023)","previouslyFormattedCitation":"(Alwaris and Hasan 2023)"},"properties":{"noteIndex":0},"schema":"https://github.com/citation-style-language/schema/raw/master/csl-citation.json"}</w:instrText>
      </w:r>
      <w:r w:rsidR="00283F94" w:rsidRPr="008817EF">
        <w:rPr>
          <w:rFonts w:ascii="Times New Roman" w:hAnsi="Times New Roman" w:cs="Times New Roman"/>
          <w:sz w:val="20"/>
          <w:szCs w:val="20"/>
        </w:rPr>
        <w:fldChar w:fldCharType="separate"/>
      </w:r>
      <w:r w:rsidR="00283F94" w:rsidRPr="008817EF">
        <w:rPr>
          <w:rFonts w:ascii="Times New Roman" w:hAnsi="Times New Roman" w:cs="Times New Roman"/>
          <w:noProof/>
          <w:sz w:val="20"/>
          <w:szCs w:val="20"/>
        </w:rPr>
        <w:t>(Alwaris and Hasan 2023)</w:t>
      </w:r>
      <w:r w:rsidR="00283F94" w:rsidRPr="008817EF">
        <w:rPr>
          <w:rFonts w:ascii="Times New Roman" w:hAnsi="Times New Roman" w:cs="Times New Roman"/>
          <w:sz w:val="20"/>
          <w:szCs w:val="20"/>
        </w:rPr>
        <w:fldChar w:fldCharType="end"/>
      </w:r>
      <w:r w:rsidR="002B0268">
        <w:rPr>
          <w:rFonts w:ascii="Times New Roman" w:hAnsi="Times New Roman" w:cs="Times New Roman"/>
          <w:sz w:val="20"/>
          <w:szCs w:val="20"/>
        </w:rPr>
        <w:t>.</w:t>
      </w:r>
    </w:p>
    <w:p w14:paraId="14B500C4" w14:textId="7C259C0E" w:rsidR="002B0268" w:rsidRDefault="00C6734A" w:rsidP="002B0268">
      <w:pPr>
        <w:pStyle w:val="NoSpacing"/>
        <w:ind w:firstLine="360"/>
        <w:jc w:val="both"/>
        <w:rPr>
          <w:rFonts w:ascii="Times New Roman" w:hAnsi="Times New Roman" w:cs="Times New Roman"/>
          <w:sz w:val="20"/>
          <w:szCs w:val="20"/>
        </w:rPr>
      </w:pPr>
      <w:r w:rsidRPr="008817EF">
        <w:rPr>
          <w:rFonts w:ascii="Times New Roman" w:hAnsi="Times New Roman" w:cs="Times New Roman"/>
          <w:sz w:val="20"/>
          <w:szCs w:val="20"/>
        </w:rPr>
        <w:t>Kebijakan moneter adalah istilah yang digunakan untuk menggambarkan instrumen keuangan yang digunakan oleh bank sentral atau lembaga keuangan lainnya untuk mencapai tujuan ekonomi tertentu. Contohnya adalah sejumlah uang dan/atau bunga. Kebijakan moneter merupakan inisiatif pemerintah demi memperkuat kondisi ekonomi dengan menetapkan tingkat cadangan devisa. Uang primer (M0), uang sempit (M1) dan uang luas (M2) terdiri dari satuan moneter (M2).</w:t>
      </w:r>
      <w:r w:rsidR="00283F94" w:rsidRPr="008817EF">
        <w:rPr>
          <w:rFonts w:ascii="Times New Roman" w:hAnsi="Times New Roman" w:cs="Times New Roman"/>
          <w:sz w:val="20"/>
          <w:szCs w:val="20"/>
        </w:rPr>
        <w:t xml:space="preserve"> </w:t>
      </w:r>
      <w:r w:rsidR="00283F94" w:rsidRPr="008817EF">
        <w:rPr>
          <w:rFonts w:ascii="Times New Roman" w:hAnsi="Times New Roman" w:cs="Times New Roman"/>
          <w:sz w:val="20"/>
          <w:szCs w:val="20"/>
        </w:rPr>
        <w:fldChar w:fldCharType="begin" w:fldLock="1"/>
      </w:r>
      <w:r w:rsidR="00283F94" w:rsidRPr="008817EF">
        <w:rPr>
          <w:rFonts w:ascii="Times New Roman" w:hAnsi="Times New Roman" w:cs="Times New Roman"/>
          <w:sz w:val="20"/>
          <w:szCs w:val="20"/>
        </w:rPr>
        <w:instrText>ADDIN CSL_CITATION {"citationItems":[{"id":"ITEM-1","itemData":{"DOI":"10.21111/tsaqafah.v9i1.38","ISSN":"1411-0334","abstract":"Dalam sistem ekonomi Islam, peran pemerintah sangat krusial. Pemerintah mengambil sikap tegas tidak hanya pada penerapan Syariah oleh masyarakat umum, tetapi juga pada kebijakan ekonomi, seperti Pemenuhan kebutuhan dasar seperti sandang, pangan dan papan serta pendidikan dan kesehatan dengan tetap menjaga kerahasiaan . Kontrak kerja, kontrol nilai tukar dan pencegahan kenaikan harga. Inflasi. Untuk mencapai tujuan tersebut, pemerintah harus memiliki sumber daya yang cukup sesuai dengan tujuan dan sasaran yang telah ditetapkan untuk mendukung pertumbuhan ekonomi nasional. Dan satu-satunya aspek keuangan adalah uang. Kebijakan moneter adalah kebijakan yang dirancang untuk mengatur aliran uang dalam perekonomian guna menjaga stabilitas harga, inflasi terkendali, lapangan kerja penuh dan pertumbuhan ekonomi yang berkelanjutan. Penulis artikel ini mencoba untuk menyelidiki dampak kebijakan moneter dan hubungannya dengan perkembangan sistem ekonomi Islam dari perspektif teoritis dan konseptual. Kajian tersebut menyatakan bahwa tidak ada perbedaan peran kebijakan moneter baik dalam perspektif ekonomi Islam maupun modern, kecuali bahwa dalam perspektif ekonomi Islam pemerintah harus menjamin terpeliharanya nilai-nilai. pasar, seperti cadangan wajib dan pengaturan pembayaran bunga pinjaman, segala sesuatu yang dilakukan dalam bisnis ini dilakukan sesuai dengan prinsip Islam dan didasarkan pada praktik riba","author":[{"dropping-particle":"","family":"Mansur","given":"Ahmad","non-dropping-particle":"","parse-names":false,"suffix":""}],"container-title":"Tsaqafah","id":"ITEM-1","issue":"1","issued":{"date-parts":[["2013"]]},"page":"57","title":"Kebijakan Moneter dan Implikasinya terhadap Pembangunan Ekonomi dalam Perspektif Islam","type":"article-journal","volume":"9"},"uris":["http://www.mendeley.com/documents/?uuid=64b656ce-e710-4851-a70d-9868ddf5fd63"]}],"mendeley":{"formattedCitation":"(Mansur 2013)","plainTextFormattedCitation":"(Mansur 2013)","previouslyFormattedCitation":"(Mansur 2013)"},"properties":{"noteIndex":0},"schema":"https://github.com/citation-style-language/schema/raw/master/csl-citation.json"}</w:instrText>
      </w:r>
      <w:r w:rsidR="00283F94" w:rsidRPr="008817EF">
        <w:rPr>
          <w:rFonts w:ascii="Times New Roman" w:hAnsi="Times New Roman" w:cs="Times New Roman"/>
          <w:sz w:val="20"/>
          <w:szCs w:val="20"/>
        </w:rPr>
        <w:fldChar w:fldCharType="separate"/>
      </w:r>
      <w:r w:rsidR="00283F94" w:rsidRPr="008817EF">
        <w:rPr>
          <w:rFonts w:ascii="Times New Roman" w:hAnsi="Times New Roman" w:cs="Times New Roman"/>
          <w:noProof/>
          <w:sz w:val="20"/>
          <w:szCs w:val="20"/>
        </w:rPr>
        <w:t>(Mansur 2013)</w:t>
      </w:r>
      <w:r w:rsidR="00283F94" w:rsidRPr="008817EF">
        <w:rPr>
          <w:rFonts w:ascii="Times New Roman" w:hAnsi="Times New Roman" w:cs="Times New Roman"/>
          <w:sz w:val="20"/>
          <w:szCs w:val="20"/>
        </w:rPr>
        <w:fldChar w:fldCharType="end"/>
      </w:r>
      <w:r w:rsidR="00283F94" w:rsidRPr="008817EF">
        <w:rPr>
          <w:rFonts w:ascii="Times New Roman" w:hAnsi="Times New Roman" w:cs="Times New Roman"/>
          <w:sz w:val="20"/>
          <w:szCs w:val="20"/>
        </w:rPr>
        <w:fldChar w:fldCharType="begin" w:fldLock="1"/>
      </w:r>
      <w:r w:rsidR="00283F94" w:rsidRPr="008817EF">
        <w:rPr>
          <w:rFonts w:ascii="Times New Roman" w:hAnsi="Times New Roman" w:cs="Times New Roman"/>
          <w:sz w:val="20"/>
          <w:szCs w:val="20"/>
        </w:rPr>
        <w:instrText>ADDIN CSL_CITATION {"citationItems":[{"id":"ITEM-1","itemData":{"DOI":"10.30984/kunuz.v3i1.601","ISSN":"2807-680X","abstract":"This study identifies monetary policy instruments that can be adopted or adapted to Islamic values to achieve the goal of controlling the circulation of money. Monetary policy has a central role in managing a country's economy, and the adoption of Islamic values in monetary policy instruments is increasingly gaining attention in the context of Islamic economics. This research uses a library approach by analyzing information sourced from articles, books, journals and various other documentation. The findings of this study explain that the adoption of Islamic values in monetary policy instruments can provide significant benefits in achieving sustainable economic goals and in accordance with Sharia principles. However, implementation challenges are also a concern, including technical aspects and a deep understanding of the principles of Islamic economics. Therefore, we propose practical guidance for monetary authorities in implementing monetary policy instruments inspired by Islamic values. Thus, contribution in formulating alternative monetary policies that integrate Islamic values with modern practices, as well as encourage the development of a more inclusive and sustainable economic system.","author":[{"dropping-particle":"","family":"Alwaris","given":"Sri Ayu Andari Putri","non-dropping-particle":"","parse-names":false,"suffix":""},{"dropping-particle":"","family":"Hasan","given":"Nugraha","non-dropping-particle":"","parse-names":false,"suffix":""}],"container-title":"Kunuz: Journal of Islamic Banking and Finance","id":"ITEM-1","issue":"1","issued":{"date-parts":[["2023"]]},"page":"65-77","title":"Adopsi Nilai-Nilai Islam pada Instrumen Kebijakan Moneter dalam Mengontrol Peredaran Uang","type":"article-journal","volume":"3"},"uris":["http://www.mendeley.com/documents/?uuid=a395b090-7cbe-4339-9d4b-35b8d0fdc77d"]}],"mendeley":{"formattedCitation":"(Alwaris and Hasan 2023)","plainTextFormattedCitation":"(Alwaris and Hasan 2023)","previouslyFormattedCitation":"(Alwaris and Hasan 2023)"},"properties":{"noteIndex":0},"schema":"https://github.com/citation-style-language/schema/raw/master/csl-citation.json"}</w:instrText>
      </w:r>
      <w:r w:rsidR="00283F94" w:rsidRPr="008817EF">
        <w:rPr>
          <w:rFonts w:ascii="Times New Roman" w:hAnsi="Times New Roman" w:cs="Times New Roman"/>
          <w:sz w:val="20"/>
          <w:szCs w:val="20"/>
        </w:rPr>
        <w:fldChar w:fldCharType="separate"/>
      </w:r>
      <w:r w:rsidR="00283F94" w:rsidRPr="008817EF">
        <w:rPr>
          <w:rFonts w:ascii="Times New Roman" w:hAnsi="Times New Roman" w:cs="Times New Roman"/>
          <w:noProof/>
          <w:sz w:val="20"/>
          <w:szCs w:val="20"/>
        </w:rPr>
        <w:t>(Alwaris and Hasan 2023)</w:t>
      </w:r>
      <w:r w:rsidR="00283F94" w:rsidRPr="008817EF">
        <w:rPr>
          <w:rFonts w:ascii="Times New Roman" w:hAnsi="Times New Roman" w:cs="Times New Roman"/>
          <w:sz w:val="20"/>
          <w:szCs w:val="20"/>
        </w:rPr>
        <w:fldChar w:fldCharType="end"/>
      </w:r>
      <w:r w:rsidR="002B0268">
        <w:rPr>
          <w:rFonts w:ascii="Times New Roman" w:hAnsi="Times New Roman" w:cs="Times New Roman"/>
          <w:sz w:val="20"/>
          <w:szCs w:val="20"/>
        </w:rPr>
        <w:t>.</w:t>
      </w:r>
    </w:p>
    <w:p w14:paraId="590B8FBC" w14:textId="5207EA51" w:rsidR="00225A4C" w:rsidRPr="002B0268" w:rsidRDefault="00C6734A" w:rsidP="002B0268">
      <w:pPr>
        <w:pStyle w:val="NoSpacing"/>
        <w:spacing w:after="240"/>
        <w:ind w:firstLine="360"/>
        <w:jc w:val="both"/>
        <w:rPr>
          <w:rFonts w:ascii="Times New Roman" w:hAnsi="Times New Roman" w:cs="Times New Roman"/>
          <w:sz w:val="20"/>
          <w:szCs w:val="20"/>
        </w:rPr>
      </w:pPr>
      <w:r w:rsidRPr="008817EF">
        <w:rPr>
          <w:rFonts w:ascii="Times New Roman" w:hAnsi="Times New Roman" w:cs="Times New Roman"/>
          <w:sz w:val="20"/>
          <w:szCs w:val="20"/>
        </w:rPr>
        <w:t>Pada bentuk moneter konvensional, instrumen yang ditunjuk sebagai instrumen otoritas moneter adalah bunga yang digunakan untuk mendistribusikan uang kepada masyarakat. Di sisi lain, Islam melarang penggunaan alat musik bunga di tempat umum. Penekanan Islam pada hal-hal yang berkait   , an dengan uang lebih menonjol dalam kajian ekonomi yang lebih luas. Akibatnya, regulator harus memastikan bahwa bisnis dan produk yang ditawarkan saat ini mampu memaksimalkan potensi investasi masyarakat. Mengingat hal ini, waktu yang dibutuhkan siapa pun dengan mata uang untuk mentransfer uang mungkin akan singkat, dengan waktu yang jelas memengaruhi kecepatan. Dengan kata lain, laju pembangunan ekonomi akan dipercepat dengan memberikan regulasi seperti izin usaha, produk syariah, dan layanan terkait lainnya kepada masyarakat.</w:t>
      </w:r>
      <w:r w:rsidR="004A57F6" w:rsidRPr="008817EF">
        <w:rPr>
          <w:rFonts w:ascii="Times New Roman" w:hAnsi="Times New Roman" w:cs="Times New Roman"/>
          <w:sz w:val="20"/>
          <w:szCs w:val="20"/>
        </w:rPr>
        <w:t xml:space="preserve"> </w:t>
      </w:r>
      <w:r w:rsidR="00283F94" w:rsidRPr="008817EF">
        <w:rPr>
          <w:rFonts w:ascii="Times New Roman" w:hAnsi="Times New Roman" w:cs="Times New Roman"/>
          <w:sz w:val="20"/>
          <w:szCs w:val="20"/>
        </w:rPr>
        <w:fldChar w:fldCharType="begin" w:fldLock="1"/>
      </w:r>
      <w:r w:rsidR="001A048A" w:rsidRPr="008817EF">
        <w:rPr>
          <w:rFonts w:ascii="Times New Roman" w:hAnsi="Times New Roman" w:cs="Times New Roman"/>
          <w:sz w:val="20"/>
          <w:szCs w:val="20"/>
        </w:rPr>
        <w:instrText>ADDIN CSL_CITATION {"citationItems":[{"id":"ITEM-1","itemData":{"DOI":"10.30984/kunuz.v3i1.601","ISSN":"2807-680X","abstract":"This study identifies monetary policy instruments that can be adopted or adapted to Islamic values to achieve the goal of controlling the circulation of money. Monetary policy has a central role in managing a country's economy, and the adoption of Islamic values in monetary policy instruments is increasingly gaining attention in the context of Islamic economics. This research uses a library approach by analyzing information sourced from articles, books, journals and various other documentation. The findings of this study explain that the adoption of Islamic values in monetary policy instruments can provide significant benefits in achieving sustainable economic goals and in accordance with Sharia principles. However, implementation challenges are also a concern, including technical aspects and a deep understanding of the principles of Islamic economics. Therefore, we propose practical guidance for monetary authorities in implementing monetary policy instruments inspired by Islamic values. Thus, contribution in formulating alternative monetary policies that integrate Islamic values with modern practices, as well as encourage the development of a more inclusive and sustainable economic system.","author":[{"dropping-particle":"","family":"Alwaris","given":"Sri Ayu Andari Putri","non-dropping-particle":"","parse-names":false,"suffix":""},{"dropping-particle":"","family":"Hasan","given":"Nugraha","non-dropping-particle":"","parse-names":false,"suffix":""}],"container-title":"Kunuz: Journal of Islamic Banking and Finance","id":"ITEM-1","issue":"1","issued":{"date-parts":[["2023"]]},"page":"65-77","title":"Adopsi Nilai-Nilai Islam pada Instrumen Kebijakan Moneter dalam Mengontrol Peredaran Uang","type":"article-journal","volume":"3"},"uris":["http://www.mendeley.com/documents/?uuid=a395b090-7cbe-4339-9d4b-35b8d0fdc77d"]}],"mendeley":{"formattedCitation":"(Alwaris and Hasan 2023)","plainTextFormattedCitation":"(Alwaris and Hasan 2023)","previouslyFormattedCitation":"(Alwaris and Hasan 2023)"},"properties":{"noteIndex":0},"schema":"https://github.com/citation-style-language/schema/raw/master/csl-citation.json"}</w:instrText>
      </w:r>
      <w:r w:rsidR="00283F94" w:rsidRPr="008817EF">
        <w:rPr>
          <w:rFonts w:ascii="Times New Roman" w:hAnsi="Times New Roman" w:cs="Times New Roman"/>
          <w:sz w:val="20"/>
          <w:szCs w:val="20"/>
        </w:rPr>
        <w:fldChar w:fldCharType="separate"/>
      </w:r>
      <w:r w:rsidR="00283F94" w:rsidRPr="008817EF">
        <w:rPr>
          <w:rFonts w:ascii="Times New Roman" w:hAnsi="Times New Roman" w:cs="Times New Roman"/>
          <w:noProof/>
          <w:sz w:val="20"/>
          <w:szCs w:val="20"/>
        </w:rPr>
        <w:t>(Alwaris and Hasan 2023)</w:t>
      </w:r>
      <w:r w:rsidR="00283F94" w:rsidRPr="008817EF">
        <w:rPr>
          <w:rFonts w:ascii="Times New Roman" w:hAnsi="Times New Roman" w:cs="Times New Roman"/>
          <w:sz w:val="20"/>
          <w:szCs w:val="20"/>
        </w:rPr>
        <w:fldChar w:fldCharType="end"/>
      </w:r>
      <w:r w:rsidR="008817EF" w:rsidRPr="008817EF">
        <w:rPr>
          <w:rFonts w:ascii="Times New Roman" w:hAnsi="Times New Roman" w:cs="Times New Roman"/>
          <w:sz w:val="20"/>
          <w:szCs w:val="20"/>
        </w:rPr>
        <w:t>.</w:t>
      </w:r>
    </w:p>
    <w:p w14:paraId="663F5006" w14:textId="77777777" w:rsidR="002B0268" w:rsidRDefault="0062050B" w:rsidP="002B0268">
      <w:pPr>
        <w:pStyle w:val="ListParagraph"/>
        <w:numPr>
          <w:ilvl w:val="1"/>
          <w:numId w:val="1"/>
        </w:numPr>
        <w:spacing w:after="0" w:line="240" w:lineRule="auto"/>
        <w:jc w:val="both"/>
        <w:rPr>
          <w:rFonts w:ascii="Times New Roman" w:hAnsi="Times New Roman" w:cs="Times New Roman"/>
          <w:i/>
          <w:iCs/>
          <w:sz w:val="24"/>
          <w:szCs w:val="24"/>
        </w:rPr>
      </w:pPr>
      <w:r>
        <w:rPr>
          <w:rFonts w:ascii="Times New Roman" w:hAnsi="Times New Roman" w:cs="Times New Roman"/>
          <w:i/>
          <w:iCs/>
          <w:sz w:val="24"/>
          <w:szCs w:val="24"/>
        </w:rPr>
        <w:t xml:space="preserve"> </w:t>
      </w:r>
      <w:r w:rsidR="00C6734A" w:rsidRPr="00A115AD">
        <w:rPr>
          <w:rFonts w:ascii="Times New Roman" w:hAnsi="Times New Roman" w:cs="Times New Roman"/>
          <w:i/>
          <w:iCs/>
          <w:sz w:val="24"/>
          <w:szCs w:val="24"/>
        </w:rPr>
        <w:t>Larangan Riba</w:t>
      </w:r>
    </w:p>
    <w:p w14:paraId="589CA194" w14:textId="77777777" w:rsidR="002B0268" w:rsidRDefault="00FC182E" w:rsidP="002B0268">
      <w:pPr>
        <w:spacing w:after="0" w:line="240" w:lineRule="auto"/>
        <w:ind w:firstLine="360"/>
        <w:jc w:val="both"/>
        <w:rPr>
          <w:rFonts w:ascii="Times New Roman" w:hAnsi="Times New Roman" w:cs="Times New Roman"/>
          <w:i/>
          <w:iCs/>
          <w:sz w:val="24"/>
          <w:szCs w:val="24"/>
        </w:rPr>
      </w:pPr>
      <w:r w:rsidRPr="002B0268">
        <w:rPr>
          <w:rFonts w:ascii="Times New Roman" w:hAnsi="Times New Roman" w:cs="Times New Roman"/>
          <w:sz w:val="20"/>
          <w:szCs w:val="20"/>
        </w:rPr>
        <w:t xml:space="preserve">Dampak ekonomi dari riba berkaitan dengan praktik kecurangan dalam bisnis yang menghasilkan kesenjangan ekonomi, kemiskinan, pengangguran, dan peningkatan kriminalitas. Praktik riba mendorong pertumbuhan ketimpangan ekonomi yang memperburuk kesenjangan antara kaya dan miskin, serta menghambat mobilitas sosial. Individu dan kelompok yang terjebak dalam perangkap riba seringkali sulit untuk mengatasi kemiskinan dan mengalami kesulitan dalam memperoleh akses ke modal dan sumber daya yang diperlukan untuk meningkatkan kesejahteraan mereka (Budiantoro, Sasmita, and Widiastuti 2018). </w:t>
      </w:r>
    </w:p>
    <w:p w14:paraId="6730DEF9" w14:textId="09B7509F" w:rsidR="0062050B" w:rsidRPr="002B0268" w:rsidRDefault="00FC182E" w:rsidP="002B0268">
      <w:pPr>
        <w:spacing w:line="240" w:lineRule="auto"/>
        <w:ind w:firstLine="360"/>
        <w:jc w:val="both"/>
        <w:rPr>
          <w:rFonts w:ascii="Times New Roman" w:hAnsi="Times New Roman" w:cs="Times New Roman"/>
          <w:i/>
          <w:iCs/>
          <w:sz w:val="24"/>
          <w:szCs w:val="24"/>
        </w:rPr>
      </w:pPr>
      <w:r w:rsidRPr="008817EF">
        <w:rPr>
          <w:rFonts w:ascii="Times New Roman" w:hAnsi="Times New Roman" w:cs="Times New Roman"/>
          <w:sz w:val="20"/>
          <w:szCs w:val="20"/>
        </w:rPr>
        <w:t xml:space="preserve">Penghapusan riba secara luas dapat diartikan sebagai pemberantasan seluruh kegiatan dan aktivitas ekonomi yang mengarah pada penindasan atau ketidakadilan. Penting untuk dicatat bahwa riba tidak boleh dibatasi hanya pada bunga bank, karena ia dapat memanifestasikan dirinya dalam berbagai bentuk dalam sistem ekonomi yang menindas, eksploitatif, dan merugikan. Sistem ini dapat dicirikan oleh kecenderungan hegemonik, kapitalistik, neo-liberalistik, dan imperialistik. Oleh karena itu, ekspansi perniagaan syariah ke depan harus dilaksanakan secara menyeluruh, bukan hanya sebatas usaha mengembangkan bank syariah (Rahayu et al. 2021). </w:t>
      </w:r>
      <w:r w:rsidRPr="008817EF">
        <w:rPr>
          <w:rFonts w:ascii="Times New Roman" w:hAnsi="Times New Roman" w:cs="Times New Roman"/>
          <w:sz w:val="20"/>
          <w:szCs w:val="20"/>
        </w:rPr>
        <w:fldChar w:fldCharType="begin" w:fldLock="1"/>
      </w:r>
      <w:r w:rsidR="001910CE" w:rsidRPr="008817EF">
        <w:rPr>
          <w:rFonts w:ascii="Times New Roman" w:hAnsi="Times New Roman" w:cs="Times New Roman"/>
          <w:sz w:val="20"/>
          <w:szCs w:val="20"/>
        </w:rPr>
        <w:instrText>ADDIN CSL_CITATION {"citationItems":[{"id":"ITEM-1","itemData":{"abstract":"… Dalam prakteknya, teori-teori ini dapat membantu dalam merancang kebijakan ekonomi, investasi, … Pemahaman yang mendalam tentang teori-teori ini penting untuk mencapai tujuan …","author":[{"dropping-particle":"","family":"Afifah","given":"Yasmin","non-dropping-particle":"","parse-names":false,"suffix":""}],"container-title":"Jurnal Ilmiah Ekonomi dan Manajemen","id":"ITEM-1","issue":"2","issued":{"date-parts":[["2023"]]},"page":"151-161","title":"Menggali Konsep Riba Dan Implikasinya Dalam Pertumbuhan Perekonomian Umat","type":"article-journal","volume":"1"},"uris":["http://www.mendeley.com/documents/?uuid=6e45c162-ddb7-4a20-8beb-b6ad09b5cfd2"]}],"mendeley":{"formattedCitation":"(Afifah 2023)","plainTextFormattedCitation":"(Afifah 2023)","previouslyFormattedCitation":"(Afifah 2023)"},"properties":{"noteIndex":0},"schema":"https://github.com/citation-style-language/schema/raw/master/csl-citation.json"}</w:instrText>
      </w:r>
      <w:r w:rsidRPr="008817EF">
        <w:rPr>
          <w:rFonts w:ascii="Times New Roman" w:hAnsi="Times New Roman" w:cs="Times New Roman"/>
          <w:sz w:val="20"/>
          <w:szCs w:val="20"/>
        </w:rPr>
        <w:fldChar w:fldCharType="separate"/>
      </w:r>
      <w:r w:rsidRPr="008817EF">
        <w:rPr>
          <w:rFonts w:ascii="Times New Roman" w:hAnsi="Times New Roman" w:cs="Times New Roman"/>
          <w:noProof/>
          <w:sz w:val="20"/>
          <w:szCs w:val="20"/>
        </w:rPr>
        <w:t>(Afifah 2023)</w:t>
      </w:r>
      <w:r w:rsidRPr="008817EF">
        <w:rPr>
          <w:rFonts w:ascii="Times New Roman" w:hAnsi="Times New Roman" w:cs="Times New Roman"/>
          <w:sz w:val="20"/>
          <w:szCs w:val="20"/>
        </w:rPr>
        <w:fldChar w:fldCharType="end"/>
      </w:r>
      <w:r w:rsidR="008817EF" w:rsidRPr="008817EF">
        <w:rPr>
          <w:rFonts w:ascii="Times New Roman" w:hAnsi="Times New Roman" w:cs="Times New Roman"/>
          <w:sz w:val="20"/>
          <w:szCs w:val="20"/>
        </w:rPr>
        <w:t>.</w:t>
      </w:r>
    </w:p>
    <w:p w14:paraId="20D36F6F" w14:textId="04B386B2" w:rsidR="00FC182E" w:rsidRPr="0062050B" w:rsidRDefault="0062050B" w:rsidP="002B0268">
      <w:pPr>
        <w:pStyle w:val="ListParagraph"/>
        <w:numPr>
          <w:ilvl w:val="0"/>
          <w:numId w:val="33"/>
        </w:numPr>
        <w:spacing w:after="0" w:line="240" w:lineRule="auto"/>
        <w:jc w:val="both"/>
        <w:rPr>
          <w:rFonts w:ascii="Times New Roman" w:hAnsi="Times New Roman" w:cs="Times New Roman"/>
          <w:i/>
          <w:iCs/>
          <w:sz w:val="24"/>
          <w:szCs w:val="24"/>
        </w:rPr>
      </w:pPr>
      <w:r w:rsidRPr="0062050B">
        <w:rPr>
          <w:rFonts w:ascii="Times New Roman" w:hAnsi="Times New Roman" w:cs="Times New Roman"/>
          <w:i/>
          <w:iCs/>
          <w:sz w:val="24"/>
          <w:szCs w:val="24"/>
        </w:rPr>
        <w:t xml:space="preserve"> </w:t>
      </w:r>
      <w:r w:rsidR="00FC182E" w:rsidRPr="0062050B">
        <w:rPr>
          <w:rFonts w:ascii="Times New Roman" w:hAnsi="Times New Roman" w:cs="Times New Roman"/>
          <w:i/>
          <w:iCs/>
          <w:sz w:val="24"/>
          <w:szCs w:val="24"/>
        </w:rPr>
        <w:t>Instrumen Fiskal Islam</w:t>
      </w:r>
    </w:p>
    <w:p w14:paraId="4A7C21E8" w14:textId="77777777" w:rsidR="002B0268" w:rsidRDefault="001910CE" w:rsidP="002B0268">
      <w:pPr>
        <w:spacing w:after="0" w:line="240" w:lineRule="auto"/>
        <w:ind w:firstLine="360"/>
        <w:jc w:val="both"/>
        <w:rPr>
          <w:rFonts w:ascii="Times New Roman" w:hAnsi="Times New Roman" w:cs="Times New Roman"/>
          <w:sz w:val="20"/>
          <w:szCs w:val="20"/>
        </w:rPr>
      </w:pPr>
      <w:r w:rsidRPr="008817EF">
        <w:rPr>
          <w:rFonts w:ascii="Times New Roman" w:hAnsi="Times New Roman" w:cs="Times New Roman"/>
          <w:sz w:val="20"/>
          <w:szCs w:val="20"/>
        </w:rPr>
        <w:t>Indonesia sebagai sentral keuangan inklusif Islam global adalah strategi jitu untuk akselerasi pengembangan keuangan Syariah terutama pada sektor zakat dan wakaf. Strategi utama yang dapat dilakukan untuk mempercepat pengembangan zakat dan wakaf atau dana-dana sosial Islam secara umum, karena sampai saat ini belum ada lembaga atau negara yang menjadi pusat pengembangan ZISWAF, yang merupakan inti dari keuangan inklusif Islami (Lubis &amp; Latifah, 2019).</w:t>
      </w:r>
    </w:p>
    <w:p w14:paraId="1ED0BC24" w14:textId="469E85B4" w:rsidR="0062050B" w:rsidRPr="008817EF" w:rsidRDefault="001910CE" w:rsidP="002B0268">
      <w:pPr>
        <w:spacing w:line="240" w:lineRule="auto"/>
        <w:ind w:firstLine="360"/>
        <w:jc w:val="both"/>
        <w:rPr>
          <w:rFonts w:ascii="Times New Roman" w:hAnsi="Times New Roman" w:cs="Times New Roman"/>
          <w:sz w:val="20"/>
          <w:szCs w:val="20"/>
        </w:rPr>
      </w:pPr>
      <w:r w:rsidRPr="008817EF">
        <w:rPr>
          <w:rFonts w:ascii="Times New Roman" w:hAnsi="Times New Roman" w:cs="Times New Roman"/>
          <w:sz w:val="20"/>
          <w:szCs w:val="20"/>
        </w:rPr>
        <w:t xml:space="preserve">Pengembangan zakat bersifat produktif dengan cara dijadikannya dana zakat sebagai modal usaha, untuk memberdayakan ekonomi penerimanya, dan supaya fakir miskin dapat menjalankan atau membiayai kehidupannya secara konsisten. Dengan dana zakat fakir miskin akan mendapatkan penghasilan tetap, meningkatkan usaha, mengembangkan usaha serta mereka dapat menyisihkan penghasilannya untuk menabung (Amirullah, 2020). </w:t>
      </w:r>
      <w:r w:rsidRPr="008817EF">
        <w:rPr>
          <w:rFonts w:ascii="Times New Roman" w:hAnsi="Times New Roman" w:cs="Times New Roman"/>
          <w:sz w:val="20"/>
          <w:szCs w:val="20"/>
        </w:rPr>
        <w:fldChar w:fldCharType="begin" w:fldLock="1"/>
      </w:r>
      <w:r w:rsidR="00A0486B" w:rsidRPr="008817EF">
        <w:rPr>
          <w:rFonts w:ascii="Times New Roman" w:hAnsi="Times New Roman" w:cs="Times New Roman"/>
          <w:sz w:val="20"/>
          <w:szCs w:val="20"/>
        </w:rPr>
        <w:instrText>ADDIN CSL_CITATION {"citationItems":[{"id":"ITEM-1","itemData":{"DOI":"10.33379/jihbiz.v4i2.859","ISSN":"2549-0397","abstract":"Penulisan yang kami lakukan bertujuan untuk mengetahui peran yang telah dilakukan oleh zakat, infak dan sedekah dalam meningkatkan kesejahteraan sebuah perekonomian masyarakat yang ada di Indonesia, seperti judul jurnal yang telah kami berikan yakni berjudul “Peranan Zakat, Infak dan Sedekah dalam Meningkatkan Kesejahteraan Ekonomi Masyarakat” kemudian kami juga akan membahas tentang pengertian ZIS.  Zakat, infak, dan sedekah ialah salah satu bentuk amal ibadah seorang muslim dengan tujuan untuk mencari rida dari Allah SWT. Dalam melakukan zakat, infak, dan sedekah dapat mengurangi jumlah kemiskinan yang ada. Maka dari itu perlu adanya badan pengelolaan yang mengurus zakat, infak, dan sedekah yang dapat mengelola dengan baik, dan dapat meningkatkan perekonomian masyarakat.","author":[{"dropping-particle":"","family":"Anjelina","given":"Eni Devi","non-dropping-particle":"","parse-names":false,"suffix":""},{"dropping-particle":"","family":"Salsabila","given":"Rania","non-dropping-particle":"","parse-names":false,"suffix":""},{"dropping-particle":"","family":"Fitriyanti","given":"Dwi Ayu","non-dropping-particle":"","parse-names":false,"suffix":""}],"container-title":"Jihbiz jurnal ekonomi keuangan dan perbankan syariah","id":"ITEM-1","issue":"2","issued":{"date-parts":[["2020"]]},"page":"136-147","title":"Peranan Zakat, Infak dan Sedekah dalam Meningkatkan Kesejahteraan Ekonomi Masyarakat","type":"article-journal","volume":"4"},"uris":["http://www.mendeley.com/documents/?uuid=27e247b0-b134-4bfd-9e20-3238c90d7d7e"]}],"mendeley":{"formattedCitation":"(Anjelina, Salsabila, and Fitriyanti 2020)","plainTextFormattedCitation":"(Anjelina, Salsabila, and Fitriyanti 2020)","previouslyFormattedCitation":"(Anjelina, Salsabila, and Fitriyanti 2020)"},"properties":{"noteIndex":0},"schema":"https://github.com/citation-style-language/schema/raw/master/csl-citation.json"}</w:instrText>
      </w:r>
      <w:r w:rsidRPr="008817EF">
        <w:rPr>
          <w:rFonts w:ascii="Times New Roman" w:hAnsi="Times New Roman" w:cs="Times New Roman"/>
          <w:sz w:val="20"/>
          <w:szCs w:val="20"/>
        </w:rPr>
        <w:fldChar w:fldCharType="separate"/>
      </w:r>
      <w:r w:rsidRPr="008817EF">
        <w:rPr>
          <w:rFonts w:ascii="Times New Roman" w:hAnsi="Times New Roman" w:cs="Times New Roman"/>
          <w:noProof/>
          <w:sz w:val="20"/>
          <w:szCs w:val="20"/>
        </w:rPr>
        <w:t>(Anjelina, Salsabila, and Fitriyanti 2020)</w:t>
      </w:r>
      <w:r w:rsidRPr="008817EF">
        <w:rPr>
          <w:rFonts w:ascii="Times New Roman" w:hAnsi="Times New Roman" w:cs="Times New Roman"/>
          <w:sz w:val="20"/>
          <w:szCs w:val="20"/>
        </w:rPr>
        <w:fldChar w:fldCharType="end"/>
      </w:r>
      <w:r w:rsidR="008817EF">
        <w:rPr>
          <w:rFonts w:ascii="Times New Roman" w:hAnsi="Times New Roman" w:cs="Times New Roman"/>
          <w:sz w:val="20"/>
          <w:szCs w:val="20"/>
        </w:rPr>
        <w:t>.</w:t>
      </w:r>
    </w:p>
    <w:p w14:paraId="2CE1544F" w14:textId="44312EF9" w:rsidR="001910CE" w:rsidRPr="0062050B" w:rsidRDefault="0062050B" w:rsidP="002B0268">
      <w:pPr>
        <w:pStyle w:val="ListParagraph"/>
        <w:numPr>
          <w:ilvl w:val="0"/>
          <w:numId w:val="33"/>
        </w:numPr>
        <w:spacing w:after="0" w:line="240" w:lineRule="auto"/>
        <w:jc w:val="both"/>
        <w:rPr>
          <w:rFonts w:ascii="Times New Roman" w:hAnsi="Times New Roman" w:cs="Times New Roman"/>
          <w:i/>
          <w:iCs/>
          <w:sz w:val="24"/>
          <w:szCs w:val="24"/>
        </w:rPr>
      </w:pPr>
      <w:r w:rsidRPr="0062050B">
        <w:rPr>
          <w:rFonts w:ascii="Times New Roman" w:hAnsi="Times New Roman" w:cs="Times New Roman"/>
          <w:i/>
          <w:iCs/>
          <w:sz w:val="24"/>
          <w:szCs w:val="24"/>
        </w:rPr>
        <w:t xml:space="preserve"> </w:t>
      </w:r>
      <w:r w:rsidR="001910CE" w:rsidRPr="0062050B">
        <w:rPr>
          <w:rFonts w:ascii="Times New Roman" w:hAnsi="Times New Roman" w:cs="Times New Roman"/>
          <w:i/>
          <w:iCs/>
          <w:sz w:val="24"/>
          <w:szCs w:val="24"/>
        </w:rPr>
        <w:t>Investasi Berbasis Etika dan Keuangan Sosial</w:t>
      </w:r>
    </w:p>
    <w:p w14:paraId="311E6B5C" w14:textId="77777777" w:rsidR="002B0268" w:rsidRDefault="00A0486B" w:rsidP="002B0268">
      <w:pPr>
        <w:spacing w:after="0" w:line="240" w:lineRule="auto"/>
        <w:ind w:firstLine="360"/>
        <w:jc w:val="both"/>
        <w:rPr>
          <w:rFonts w:ascii="Times New Roman" w:hAnsi="Times New Roman" w:cs="Times New Roman"/>
          <w:sz w:val="20"/>
          <w:szCs w:val="20"/>
        </w:rPr>
      </w:pPr>
      <w:r w:rsidRPr="008817EF">
        <w:rPr>
          <w:rFonts w:ascii="Times New Roman" w:hAnsi="Times New Roman" w:cs="Times New Roman"/>
          <w:sz w:val="20"/>
          <w:szCs w:val="20"/>
        </w:rPr>
        <w:t>Surat Berharga Syariah Negara (SBSN) atau yang juga dikenal dengan nama Sukuk Negara, kian hari kian menunjukkan perannya dalam mendukung pembangunan di Indonesia. Berbagai pembangunan di penjuru Indonesia dibiayai oleh Sukuk Negara. Dalam beberapa tahun terakhir saja, Sukuk Negara dipakai antara lain untuk membangun Jembatan Sei Alalak di Banjarmasin, Fasilitas Perkeretaapian Bekasi-Cikarang, Laboratorium Terpadu Universitas Pattimura di Maluku, serta Pelabuhan Penyeberangan Siompu di Sulawesi Tenggara.</w:t>
      </w:r>
      <w:r w:rsidR="001A048A" w:rsidRPr="008817EF">
        <w:rPr>
          <w:rFonts w:ascii="Times New Roman" w:hAnsi="Times New Roman" w:cs="Times New Roman"/>
          <w:sz w:val="20"/>
          <w:szCs w:val="20"/>
        </w:rPr>
        <w:t xml:space="preserve"> </w:t>
      </w:r>
      <w:r w:rsidR="00124C18" w:rsidRPr="008817EF">
        <w:rPr>
          <w:rFonts w:ascii="Times New Roman" w:hAnsi="Times New Roman" w:cs="Times New Roman"/>
          <w:sz w:val="20"/>
          <w:szCs w:val="20"/>
        </w:rPr>
        <w:fldChar w:fldCharType="begin" w:fldLock="1"/>
      </w:r>
      <w:r w:rsidR="00B04897" w:rsidRPr="008817EF">
        <w:rPr>
          <w:rFonts w:ascii="Times New Roman" w:hAnsi="Times New Roman" w:cs="Times New Roman"/>
          <w:sz w:val="20"/>
          <w:szCs w:val="20"/>
        </w:rPr>
        <w:instrText>ADDIN CSL_CITATION {"citationItems":[{"id":"ITEM-1","itemData":{"URL":"https://mediakeuangan.kemenkeu.go.id/article/show/sukuk-negara-berkontribusi-untuk-pembangunan-indonesia-dan-diakui-dunia","accessed":{"date-parts":[["2024","10","25"]]},"author":[{"dropping-particle":"","family":"Reni Saptati D.I.","given":"","non-dropping-particle":"","parse-names":false,"suffix":""}],"container-title":"MK+","id":"ITEM-1","issued":{"date-parts":[["0"]]},"title":"Sukuk Negara: Berkontribusi untuk Pembangunan Indonesia dan Diakui Dunia","type":"webpage"},"uris":["http://www.mendeley.com/documents/?uuid=0f061f53-ab91-478d-8088-8f36db6e62b7"]}],"mendeley":{"formattedCitation":"(Reni Saptati D.I. n.d.)","plainTextFormattedCitation":"(Reni Saptati D.I. n.d.)","previouslyFormattedCitation":"(Reni Saptati D.I. n.d.)"},"properties":{"noteIndex":0},"schema":"https://github.com/citation-style-language/schema/raw/master/csl-citation.json"}</w:instrText>
      </w:r>
      <w:r w:rsidR="00124C18" w:rsidRPr="008817EF">
        <w:rPr>
          <w:rFonts w:ascii="Times New Roman" w:hAnsi="Times New Roman" w:cs="Times New Roman"/>
          <w:sz w:val="20"/>
          <w:szCs w:val="20"/>
        </w:rPr>
        <w:fldChar w:fldCharType="separate"/>
      </w:r>
      <w:r w:rsidR="00124C18" w:rsidRPr="008817EF">
        <w:rPr>
          <w:rFonts w:ascii="Times New Roman" w:hAnsi="Times New Roman" w:cs="Times New Roman"/>
          <w:noProof/>
          <w:sz w:val="20"/>
          <w:szCs w:val="20"/>
        </w:rPr>
        <w:t>(Reni Saptati D.I. n.d.)</w:t>
      </w:r>
      <w:r w:rsidR="00124C18" w:rsidRPr="008817EF">
        <w:rPr>
          <w:rFonts w:ascii="Times New Roman" w:hAnsi="Times New Roman" w:cs="Times New Roman"/>
          <w:sz w:val="20"/>
          <w:szCs w:val="20"/>
        </w:rPr>
        <w:fldChar w:fldCharType="end"/>
      </w:r>
      <w:r w:rsidR="008817EF">
        <w:rPr>
          <w:rFonts w:ascii="Times New Roman" w:hAnsi="Times New Roman" w:cs="Times New Roman"/>
          <w:sz w:val="20"/>
          <w:szCs w:val="20"/>
        </w:rPr>
        <w:t>.</w:t>
      </w:r>
    </w:p>
    <w:p w14:paraId="75A0FCE3" w14:textId="77777777" w:rsidR="002B0268" w:rsidRDefault="00A0486B" w:rsidP="002B0268">
      <w:pPr>
        <w:spacing w:after="0" w:line="240" w:lineRule="auto"/>
        <w:ind w:firstLine="360"/>
        <w:jc w:val="both"/>
        <w:rPr>
          <w:rFonts w:ascii="Times New Roman" w:hAnsi="Times New Roman" w:cs="Times New Roman"/>
          <w:sz w:val="20"/>
          <w:szCs w:val="20"/>
        </w:rPr>
      </w:pPr>
      <w:r w:rsidRPr="008817EF">
        <w:rPr>
          <w:rFonts w:ascii="Times New Roman" w:hAnsi="Times New Roman" w:cs="Times New Roman"/>
          <w:sz w:val="20"/>
          <w:szCs w:val="20"/>
        </w:rPr>
        <w:t xml:space="preserve">Masih banyak proyek pemerintah lainnya yang dibiayai pembangunannya oleh Sukuk Negara. Sejak awal diterbitkan, Sukuk Negara memang ditujukan untuk membiayai Anggaran Pendapatan dan Belanja Negara </w:t>
      </w:r>
      <w:r w:rsidRPr="008817EF">
        <w:rPr>
          <w:rFonts w:ascii="Times New Roman" w:hAnsi="Times New Roman" w:cs="Times New Roman"/>
          <w:sz w:val="20"/>
          <w:szCs w:val="20"/>
        </w:rPr>
        <w:lastRenderedPageBreak/>
        <w:t>(APBN) dan pembangunan nasional. Instrumen investasi ini menjadi sumber pembiayaan alternatif untuk membiayai proyek-proyek pembangunan nasional, seperti infrastruktur, pendidikan, dan kesehatan.</w:t>
      </w:r>
      <w:r w:rsidR="00124C18" w:rsidRPr="008817EF">
        <w:rPr>
          <w:rFonts w:ascii="Times New Roman" w:hAnsi="Times New Roman" w:cs="Times New Roman"/>
          <w:sz w:val="20"/>
          <w:szCs w:val="20"/>
        </w:rPr>
        <w:t xml:space="preserve"> </w:t>
      </w:r>
      <w:r w:rsidR="00124C18" w:rsidRPr="008817EF">
        <w:rPr>
          <w:rFonts w:ascii="Times New Roman" w:hAnsi="Times New Roman" w:cs="Times New Roman"/>
          <w:sz w:val="20"/>
          <w:szCs w:val="20"/>
        </w:rPr>
        <w:fldChar w:fldCharType="begin" w:fldLock="1"/>
      </w:r>
      <w:r w:rsidR="00124C18" w:rsidRPr="008817EF">
        <w:rPr>
          <w:rFonts w:ascii="Times New Roman" w:hAnsi="Times New Roman" w:cs="Times New Roman"/>
          <w:sz w:val="20"/>
          <w:szCs w:val="20"/>
        </w:rPr>
        <w:instrText>ADDIN CSL_CITATION {"citationItems":[{"id":"ITEM-1","itemData":{"URL":"https://mediakeuangan.kemenkeu.go.id/article/show/sukuk-negara-berkontribusi-untuk-pembangunan-indonesia-dan-diakui-dunia","accessed":{"date-parts":[["2024","10","25"]]},"author":[{"dropping-particle":"","family":"Reni Saptati D.I.","given":"","non-dropping-particle":"","parse-names":false,"suffix":""}],"container-title":"MK+","id":"ITEM-1","issued":{"date-parts":[["0"]]},"title":"Sukuk Negara: Berkontribusi untuk Pembangunan Indonesia dan Diakui Dunia","type":"webpage"},"uris":["http://www.mendeley.com/documents/?uuid=0f061f53-ab91-478d-8088-8f36db6e62b7"]}],"mendeley":{"formattedCitation":"(Reni Saptati D.I. n.d.)","plainTextFormattedCitation":"(Reni Saptati D.I. n.d.)","previouslyFormattedCitation":"(Reni Saptati D.I. n.d.)"},"properties":{"noteIndex":0},"schema":"https://github.com/citation-style-language/schema/raw/master/csl-citation.json"}</w:instrText>
      </w:r>
      <w:r w:rsidR="00124C18" w:rsidRPr="008817EF">
        <w:rPr>
          <w:rFonts w:ascii="Times New Roman" w:hAnsi="Times New Roman" w:cs="Times New Roman"/>
          <w:sz w:val="20"/>
          <w:szCs w:val="20"/>
        </w:rPr>
        <w:fldChar w:fldCharType="separate"/>
      </w:r>
      <w:r w:rsidR="00124C18" w:rsidRPr="008817EF">
        <w:rPr>
          <w:rFonts w:ascii="Times New Roman" w:hAnsi="Times New Roman" w:cs="Times New Roman"/>
          <w:noProof/>
          <w:sz w:val="20"/>
          <w:szCs w:val="20"/>
        </w:rPr>
        <w:t>(Reni Saptati D.I. n.d.)</w:t>
      </w:r>
      <w:r w:rsidR="00124C18" w:rsidRPr="008817EF">
        <w:rPr>
          <w:rFonts w:ascii="Times New Roman" w:hAnsi="Times New Roman" w:cs="Times New Roman"/>
          <w:sz w:val="20"/>
          <w:szCs w:val="20"/>
        </w:rPr>
        <w:fldChar w:fldCharType="end"/>
      </w:r>
      <w:r w:rsidR="008817EF">
        <w:rPr>
          <w:rFonts w:ascii="Times New Roman" w:hAnsi="Times New Roman" w:cs="Times New Roman"/>
          <w:sz w:val="20"/>
          <w:szCs w:val="20"/>
        </w:rPr>
        <w:t>.</w:t>
      </w:r>
    </w:p>
    <w:p w14:paraId="057527A8" w14:textId="1E531D8A" w:rsidR="0062050B" w:rsidRPr="008817EF" w:rsidRDefault="00A0486B" w:rsidP="002B0268">
      <w:pPr>
        <w:spacing w:after="0" w:line="240" w:lineRule="auto"/>
        <w:ind w:firstLine="360"/>
        <w:jc w:val="both"/>
        <w:rPr>
          <w:rFonts w:ascii="Times New Roman" w:hAnsi="Times New Roman" w:cs="Times New Roman"/>
          <w:sz w:val="20"/>
          <w:szCs w:val="20"/>
        </w:rPr>
      </w:pPr>
      <w:r w:rsidRPr="008817EF">
        <w:rPr>
          <w:rFonts w:ascii="Times New Roman" w:hAnsi="Times New Roman" w:cs="Times New Roman"/>
          <w:sz w:val="20"/>
          <w:szCs w:val="20"/>
        </w:rPr>
        <w:t xml:space="preserve">Tujuan lain penerbitan Sukuk Negara adalah untuk mendorong pertumbuhan dan perkembangan pasar keuangan syariah di Indonesia. Dengan penyediaan instrumen sukuk, minat investor terhadap instrumen keuangan syariah semakin meningkat. Sukuk Negara juga menjadi instrumen investasi yang menarik investor global. Dampaknya, kepercayaan investor terhadap ekonomi Indonesia semakin naik. </w:t>
      </w:r>
      <w:r w:rsidRPr="008817EF">
        <w:rPr>
          <w:rFonts w:ascii="Times New Roman" w:hAnsi="Times New Roman" w:cs="Times New Roman"/>
          <w:sz w:val="20"/>
          <w:szCs w:val="20"/>
        </w:rPr>
        <w:fldChar w:fldCharType="begin" w:fldLock="1"/>
      </w:r>
      <w:r w:rsidR="00834845" w:rsidRPr="008817EF">
        <w:rPr>
          <w:rFonts w:ascii="Times New Roman" w:hAnsi="Times New Roman" w:cs="Times New Roman"/>
          <w:sz w:val="20"/>
          <w:szCs w:val="20"/>
        </w:rPr>
        <w:instrText>ADDIN CSL_CITATION {"citationItems":[{"id":"ITEM-1","itemData":{"URL":"https://mediakeuangan.kemenkeu.go.id/article/show/sukuk-negara-berkontribusi-untuk-pembangunan-indonesia-dan-diakui-dunia","accessed":{"date-parts":[["2024","10","25"]]},"author":[{"dropping-particle":"","family":"Reni Saptati D.I.","given":"","non-dropping-particle":"","parse-names":false,"suffix":""}],"container-title":"MK+","id":"ITEM-1","issued":{"date-parts":[["0"]]},"title":"Sukuk Negara: Berkontribusi untuk Pembangunan Indonesia dan Diakui Dunia","type":"webpage"},"uris":["http://www.mendeley.com/documents/?uuid=0f061f53-ab91-478d-8088-8f36db6e62b7"]}],"mendeley":{"formattedCitation":"(Reni Saptati D.I. n.d.)","plainTextFormattedCitation":"(Reni Saptati D.I. n.d.)","previouslyFormattedCitation":"(Reni Saptati D.I. n.d.)"},"properties":{"noteIndex":0},"schema":"https://github.com/citation-style-language/schema/raw/master/csl-citation.json"}</w:instrText>
      </w:r>
      <w:r w:rsidRPr="008817EF">
        <w:rPr>
          <w:rFonts w:ascii="Times New Roman" w:hAnsi="Times New Roman" w:cs="Times New Roman"/>
          <w:sz w:val="20"/>
          <w:szCs w:val="20"/>
        </w:rPr>
        <w:fldChar w:fldCharType="separate"/>
      </w:r>
      <w:r w:rsidRPr="008817EF">
        <w:rPr>
          <w:rFonts w:ascii="Times New Roman" w:hAnsi="Times New Roman" w:cs="Times New Roman"/>
          <w:noProof/>
          <w:sz w:val="20"/>
          <w:szCs w:val="20"/>
        </w:rPr>
        <w:t>(Reni Saptati D.I. n.d.)</w:t>
      </w:r>
      <w:r w:rsidRPr="008817EF">
        <w:rPr>
          <w:rFonts w:ascii="Times New Roman" w:hAnsi="Times New Roman" w:cs="Times New Roman"/>
          <w:sz w:val="20"/>
          <w:szCs w:val="20"/>
        </w:rPr>
        <w:fldChar w:fldCharType="end"/>
      </w:r>
      <w:r w:rsidR="008817EF">
        <w:rPr>
          <w:rFonts w:ascii="Times New Roman" w:hAnsi="Times New Roman" w:cs="Times New Roman"/>
          <w:sz w:val="20"/>
          <w:szCs w:val="20"/>
        </w:rPr>
        <w:t>.</w:t>
      </w:r>
    </w:p>
    <w:p w14:paraId="7261D794" w14:textId="505D1828" w:rsidR="00834845" w:rsidRPr="0062050B" w:rsidRDefault="0062050B" w:rsidP="00007546">
      <w:pPr>
        <w:pStyle w:val="ListParagraph"/>
        <w:numPr>
          <w:ilvl w:val="0"/>
          <w:numId w:val="17"/>
        </w:numPr>
        <w:spacing w:before="240" w:after="0" w:line="240" w:lineRule="auto"/>
        <w:jc w:val="both"/>
        <w:rPr>
          <w:rFonts w:ascii="Times New Roman" w:hAnsi="Times New Roman" w:cs="Times New Roman"/>
          <w:i/>
          <w:iCs/>
          <w:sz w:val="24"/>
          <w:szCs w:val="24"/>
        </w:rPr>
      </w:pPr>
      <w:r w:rsidRPr="0062050B">
        <w:rPr>
          <w:rFonts w:ascii="Times New Roman" w:hAnsi="Times New Roman" w:cs="Times New Roman"/>
          <w:i/>
          <w:iCs/>
          <w:sz w:val="24"/>
          <w:szCs w:val="24"/>
        </w:rPr>
        <w:t xml:space="preserve"> </w:t>
      </w:r>
      <w:r w:rsidR="00834845" w:rsidRPr="0062050B">
        <w:rPr>
          <w:rFonts w:ascii="Times New Roman" w:hAnsi="Times New Roman" w:cs="Times New Roman"/>
          <w:i/>
          <w:iCs/>
          <w:sz w:val="24"/>
          <w:szCs w:val="24"/>
        </w:rPr>
        <w:t>Hubungan Antara Kebijakan Moneter Islam dan Pembangunan Ekonomi Berkelanjutan</w:t>
      </w:r>
    </w:p>
    <w:p w14:paraId="2CF1E1DD" w14:textId="77777777" w:rsidR="002B0268" w:rsidRDefault="00834845" w:rsidP="00007546">
      <w:pPr>
        <w:spacing w:after="0" w:line="240" w:lineRule="auto"/>
        <w:ind w:firstLine="360"/>
        <w:jc w:val="both"/>
        <w:rPr>
          <w:rFonts w:ascii="Times New Roman" w:hAnsi="Times New Roman" w:cs="Times New Roman"/>
          <w:sz w:val="20"/>
          <w:szCs w:val="20"/>
        </w:rPr>
      </w:pPr>
      <w:r w:rsidRPr="008817EF">
        <w:rPr>
          <w:rFonts w:ascii="Times New Roman" w:hAnsi="Times New Roman" w:cs="Times New Roman"/>
          <w:sz w:val="20"/>
          <w:szCs w:val="20"/>
        </w:rPr>
        <w:t>Peran prinsip syariah dalam kebijakan moneter adalah krusial dalam mengatur sistem keuangan yang sesuai dengan nilai-nilai Islam. Prinsip-prinsip seperti larangan riba (bunga), gharar (ketidakpastian), dan spekulasi menjadi landasan bagi pengambilan keputusan dalam penetapan kebijakan moneter. Misalnya, larangan riba mendorong otoritas moneter untuk mencari alternatif dalam menetapkan suku bunga yang adil dan berkelanjutan, yang memperhatikan keseimbangan antara pertumbuhan ekonomi dan stabilitas harga.(I. A. Putri &amp; Nasution, 2022).</w:t>
      </w:r>
    </w:p>
    <w:p w14:paraId="773D85E7" w14:textId="77777777" w:rsidR="002B0268" w:rsidRDefault="00834845" w:rsidP="002B0268">
      <w:pPr>
        <w:spacing w:after="0" w:line="240" w:lineRule="auto"/>
        <w:ind w:firstLine="360"/>
        <w:jc w:val="both"/>
        <w:rPr>
          <w:rFonts w:ascii="Times New Roman" w:hAnsi="Times New Roman" w:cs="Times New Roman"/>
          <w:sz w:val="20"/>
          <w:szCs w:val="20"/>
        </w:rPr>
      </w:pPr>
      <w:r w:rsidRPr="008817EF">
        <w:rPr>
          <w:rFonts w:ascii="Times New Roman" w:hAnsi="Times New Roman" w:cs="Times New Roman"/>
          <w:sz w:val="20"/>
          <w:szCs w:val="20"/>
        </w:rPr>
        <w:t xml:space="preserve">Peran prinsip syariah dalam kebijakan moneter adalah kunci untuk membentuk ekonomi yang stabil dan berkelanjutan, sambil menghindari dampak negatif yang tidak diinginkan. Kebijakan moneter Islam merujuk pada prinsip-prinsip ekonomi Islam yang terinspirasi oleh ajaran Al-Quran dan Hadis. Di antara poin-poin sentralnya adalah larangan terhadap praktik riba atau bunga. Dalam kerangka kebijakan moneter, prinsip- prinsip syariah mendorong peningkatan cadangan devisa, pembatasan pengeluaran investasi, dan pengaturan jumlah uang beredar untuk mencapai keseimbangan pertumbuhan ekonomi yang tinggi, stabilitas harga, dan pembangunan ekonomi yang merata. </w:t>
      </w:r>
      <w:r w:rsidRPr="008817EF">
        <w:rPr>
          <w:rFonts w:ascii="Times New Roman" w:hAnsi="Times New Roman" w:cs="Times New Roman"/>
          <w:sz w:val="20"/>
          <w:szCs w:val="20"/>
        </w:rPr>
        <w:fldChar w:fldCharType="begin" w:fldLock="1"/>
      </w:r>
      <w:r w:rsidRPr="008817EF">
        <w:rPr>
          <w:rFonts w:ascii="Times New Roman" w:hAnsi="Times New Roman" w:cs="Times New Roman"/>
          <w:sz w:val="20"/>
          <w:szCs w:val="20"/>
        </w:rPr>
        <w:instrText>ADDIN CSL_CITATION {"citationItems":[{"id":"ITEM-1","itemData":{"abstract":"Sharia monetary policy has become the focus of attention in global economic studies, especially in the context of efforts to maintain currency stability. With principles based on Islamic values, sharia monetary policy emphasizes the prohibition of usury, transparency, justice and economic balance. Through the prohibition of usury, sharia monetary policy influences interest rates, credit, and inflation, which in turn impact currency exchange rates. Transparency in sharia monetary policy also increases public confidence in the financial system and currency, while fairness in the distribution of wealth can create sustainable socioeconomic stability. The principles of economic balance in sharia monetary policy also play an important role in influencing currency stability by maintaining a balance between the supply and demand for money. As a result, Sharia monetary policy promotes long-term stability in the financial system and currency, which in turn contributes to economic sustainability and currency exchange rate stability in the long-term.","author":[{"dropping-particle":"","family":"Ningrum","given":"Deviana Putri","non-dropping-particle":"","parse-names":false,"suffix":""},{"dropping-particle":"","family":"Hasanah","given":"Siti Aisyah","non-dropping-particle":"","parse-names":false,"suffix":""},{"dropping-particle":"","family":"Zaroh","given":"Yuni","non-dropping-particle":"","parse-names":false,"suffix":""},{"dropping-particle":"","family":"Firdaus","given":"Naufal","non-dropping-particle":"","parse-names":false,"suffix":""}],"container-title":"Jurnal Media Akademik","id":"ITEM-1","issue":"6","issued":{"date-parts":[["2024"]]},"page":"3031-5220","title":"Pengaruh Kebijakan Moneter Syariah Terhadap Stabilitas Mata Uang","type":"article-journal","volume":"2"},"uris":["http://www.mendeley.com/documents/?uuid=002252a3-f427-4a4b-b2bd-c805582e5f0d"]}],"mendeley":{"formattedCitation":"(Ningrum et al. 2024)","plainTextFormattedCitation":"(Ningrum et al. 2024)","previouslyFormattedCitation":"(Ningrum et al. 2024)"},"properties":{"noteIndex":0},"schema":"https://github.com/citation-style-language/schema/raw/master/csl-citation.json"}</w:instrText>
      </w:r>
      <w:r w:rsidRPr="008817EF">
        <w:rPr>
          <w:rFonts w:ascii="Times New Roman" w:hAnsi="Times New Roman" w:cs="Times New Roman"/>
          <w:sz w:val="20"/>
          <w:szCs w:val="20"/>
        </w:rPr>
        <w:fldChar w:fldCharType="separate"/>
      </w:r>
      <w:r w:rsidRPr="008817EF">
        <w:rPr>
          <w:rFonts w:ascii="Times New Roman" w:hAnsi="Times New Roman" w:cs="Times New Roman"/>
          <w:noProof/>
          <w:sz w:val="20"/>
          <w:szCs w:val="20"/>
        </w:rPr>
        <w:t>(Ningrum et al. 2024)</w:t>
      </w:r>
      <w:r w:rsidRPr="008817EF">
        <w:rPr>
          <w:rFonts w:ascii="Times New Roman" w:hAnsi="Times New Roman" w:cs="Times New Roman"/>
          <w:sz w:val="20"/>
          <w:szCs w:val="20"/>
        </w:rPr>
        <w:fldChar w:fldCharType="end"/>
      </w:r>
      <w:r w:rsidR="008817EF">
        <w:rPr>
          <w:rFonts w:ascii="Times New Roman" w:hAnsi="Times New Roman" w:cs="Times New Roman"/>
          <w:sz w:val="20"/>
          <w:szCs w:val="20"/>
        </w:rPr>
        <w:t>.</w:t>
      </w:r>
    </w:p>
    <w:p w14:paraId="40500D1E" w14:textId="77777777" w:rsidR="002B0268" w:rsidRDefault="00834845" w:rsidP="002B0268">
      <w:pPr>
        <w:spacing w:after="0" w:line="240" w:lineRule="auto"/>
        <w:ind w:firstLine="360"/>
        <w:jc w:val="both"/>
        <w:rPr>
          <w:rFonts w:ascii="Times New Roman" w:hAnsi="Times New Roman" w:cs="Times New Roman"/>
          <w:sz w:val="20"/>
          <w:szCs w:val="20"/>
        </w:rPr>
      </w:pPr>
      <w:r w:rsidRPr="008817EF">
        <w:rPr>
          <w:rFonts w:ascii="Times New Roman" w:hAnsi="Times New Roman" w:cs="Times New Roman"/>
          <w:sz w:val="20"/>
          <w:szCs w:val="20"/>
        </w:rPr>
        <w:t xml:space="preserve">Dengan mendasarkan kebijakan moneter pada prinsip-prinsip syariah, diharapkan sistem keuangan dapat beroperasi dalam batas-batas yang sesuai dengan nilai-nilai Islam, sambil tetap memfasilitasi pertumbuhan ekonomi yang inklusif dan berkelanjutan. Ini menempatkan penekanan yang kuat pada keadilan, transparansi, dan keseimbangan antara pertumbuhan ekonomi dan stabilitas harga, yang merupakan elemen-elemen kunci dalam membangun ekonomi yang sehat dan berdaya tahan. </w:t>
      </w:r>
      <w:r w:rsidRPr="008817EF">
        <w:rPr>
          <w:rFonts w:ascii="Times New Roman" w:hAnsi="Times New Roman" w:cs="Times New Roman"/>
          <w:sz w:val="20"/>
          <w:szCs w:val="20"/>
        </w:rPr>
        <w:fldChar w:fldCharType="begin" w:fldLock="1"/>
      </w:r>
      <w:r w:rsidR="006A1131" w:rsidRPr="008817EF">
        <w:rPr>
          <w:rFonts w:ascii="Times New Roman" w:hAnsi="Times New Roman" w:cs="Times New Roman"/>
          <w:sz w:val="20"/>
          <w:szCs w:val="20"/>
        </w:rPr>
        <w:instrText>ADDIN CSL_CITATION {"citationItems":[{"id":"ITEM-1","itemData":{"abstract":"Sharia monetary policy has become the focus of attention in global economic studies, especially in the context of efforts to maintain currency stability. With principles based on Islamic values, sharia monetary policy emphasizes the prohibition of usury, transparency, justice and economic balance. Through the prohibition of usury, sharia monetary policy influences interest rates, credit, and inflation, which in turn impact currency exchange rates. Transparency in sharia monetary policy also increases public confidence in the financial system and currency, while fairness in the distribution of wealth can create sustainable socioeconomic stability. The principles of economic balance in sharia monetary policy also play an important role in influencing currency stability by maintaining a balance between the supply and demand for money. As a result, Sharia monetary policy promotes long-term stability in the financial system and currency, which in turn contributes to economic sustainability and currency exchange rate stability in the long-term.","author":[{"dropping-particle":"","family":"Ningrum","given":"Deviana Putri","non-dropping-particle":"","parse-names":false,"suffix":""},{"dropping-particle":"","family":"Hasanah","given":"Siti Aisyah","non-dropping-particle":"","parse-names":false,"suffix":""},{"dropping-particle":"","family":"Zaroh","given":"Yuni","non-dropping-particle":"","parse-names":false,"suffix":""},{"dropping-particle":"","family":"Firdaus","given":"Naufal","non-dropping-particle":"","parse-names":false,"suffix":""}],"container-title":"Jurnal Media Akademik","id":"ITEM-1","issue":"6","issued":{"date-parts":[["2024"]]},"page":"3031-5220","title":"Pengaruh Kebijakan Moneter Syariah Terhadap Stabilitas Mata Uang","type":"article-journal","volume":"2"},"uris":["http://www.mendeley.com/documents/?uuid=002252a3-f427-4a4b-b2bd-c805582e5f0d"]}],"mendeley":{"formattedCitation":"(Ningrum et al. 2024)","plainTextFormattedCitation":"(Ningrum et al. 2024)","previouslyFormattedCitation":"(Ningrum et al. 2024)"},"properties":{"noteIndex":0},"schema":"https://github.com/citation-style-language/schema/raw/master/csl-citation.json"}</w:instrText>
      </w:r>
      <w:r w:rsidRPr="008817EF">
        <w:rPr>
          <w:rFonts w:ascii="Times New Roman" w:hAnsi="Times New Roman" w:cs="Times New Roman"/>
          <w:sz w:val="20"/>
          <w:szCs w:val="20"/>
        </w:rPr>
        <w:fldChar w:fldCharType="separate"/>
      </w:r>
      <w:r w:rsidRPr="008817EF">
        <w:rPr>
          <w:rFonts w:ascii="Times New Roman" w:hAnsi="Times New Roman" w:cs="Times New Roman"/>
          <w:noProof/>
          <w:sz w:val="20"/>
          <w:szCs w:val="20"/>
        </w:rPr>
        <w:t>(Ningrum et al. 2024)</w:t>
      </w:r>
      <w:r w:rsidRPr="008817EF">
        <w:rPr>
          <w:rFonts w:ascii="Times New Roman" w:hAnsi="Times New Roman" w:cs="Times New Roman"/>
          <w:sz w:val="20"/>
          <w:szCs w:val="20"/>
        </w:rPr>
        <w:fldChar w:fldCharType="end"/>
      </w:r>
      <w:r w:rsidR="008817EF">
        <w:rPr>
          <w:rFonts w:ascii="Times New Roman" w:hAnsi="Times New Roman" w:cs="Times New Roman"/>
          <w:sz w:val="20"/>
          <w:szCs w:val="20"/>
        </w:rPr>
        <w:t>.</w:t>
      </w:r>
    </w:p>
    <w:p w14:paraId="37B7D36C" w14:textId="50CF6B31" w:rsidR="006A1131" w:rsidRPr="008817EF" w:rsidRDefault="006A1131" w:rsidP="008B2C24">
      <w:pPr>
        <w:spacing w:line="240" w:lineRule="auto"/>
        <w:ind w:firstLine="360"/>
        <w:jc w:val="both"/>
        <w:rPr>
          <w:rFonts w:ascii="Times New Roman" w:hAnsi="Times New Roman" w:cs="Times New Roman"/>
          <w:sz w:val="20"/>
          <w:szCs w:val="20"/>
        </w:rPr>
      </w:pPr>
      <w:r w:rsidRPr="008817EF">
        <w:rPr>
          <w:rFonts w:ascii="Times New Roman" w:hAnsi="Times New Roman" w:cs="Times New Roman"/>
          <w:sz w:val="20"/>
          <w:szCs w:val="20"/>
        </w:rPr>
        <w:t xml:space="preserve">Ada dua definisi tentang pembangunan berkelanjutan; yaitu pembangunan berkelanjutan dalam arti kuat (strong definition) dan berkelanjutan dalam arti lunak (weak definition), Berkelanjutan dalam arti kuat atau keras menghendaki agar nilai semua modal pembangunan; yaitu nilai modal manusia (human capital) ditambah nilai ekosistem sebagai modal alami (natural capital) ditambah lagi dengan modal buatan manusia (human made capital) tetap atau tidak mengalami penurunan. Sedangkan dalam arti lunak pembangunan berkelanjutan memungkinkan adanya substitusi di antara ketiga jenis modal pembangunan; utamanya nilai modal alami kalau berkurang dapat diimbangi dengan peningkatan nilai modal manusia dan modal buatan manusia. Sebagai contoh seandainya terjadi penurunan jumlah modal alami seperti minyak bumi dan batu bara yang selalu dieksploitasi atau diambil dari bumi kita, maka dikehendaki agar nilai modal manusia dan/atau nilai modal buatan manusia meningkat yang dibiayai dengan memanfatkan modal alami yang diambil dari alam di daerah yang bersangkutan. Para ekonom lebih dapat menerima definisi pembangunan berkelanjutan dalam arti lunak atau lemah. </w:t>
      </w:r>
      <w:r w:rsidRPr="008817EF">
        <w:rPr>
          <w:rFonts w:ascii="Times New Roman" w:hAnsi="Times New Roman" w:cs="Times New Roman"/>
          <w:sz w:val="20"/>
          <w:szCs w:val="20"/>
        </w:rPr>
        <w:fldChar w:fldCharType="begin" w:fldLock="1"/>
      </w:r>
      <w:r w:rsidRPr="008817EF">
        <w:rPr>
          <w:rFonts w:ascii="Times New Roman" w:hAnsi="Times New Roman" w:cs="Times New Roman"/>
          <w:sz w:val="20"/>
          <w:szCs w:val="20"/>
        </w:rPr>
        <w:instrText>ADDIN CSL_CITATION {"citationItems":[{"id":"ITEM-1","itemData":{"abstract":"Tujuan dari penelitian ini adalah untuk mengetahui konsep pemangunan berkelanjutan beserta prinsipnya. Untuk menyusun perencanaan pembangunan yang berbasis konsep pembangunan berkelanjutan, perlu dipahami unsur apa saja yang diperlukan serta faktor dan piranti apa saja yang diperlukan untuk membangun secara berkelanjutan. Adapun pilar-pilar pembangunan berkelanjutan berupa berkelanjutan ekonomi, berkelanjutan sosial dan berkelanjutan lingkungan, yang ketiganya harus berkembang secara seimbang; kalau tidak pembangunan akan terjebak pada model pembangunan konvensional yang menekankan pertumbuhan ekonomi saja dan meninggalkan perkembangan sosial dan lingkungan. Disamping itu, untuk keberhasilan pembangunan berkelanjutan, disyaratkan pula perlunya modal sosial yang mampu memelihara hubungan kerja sama yang baik antar berbagai lembaga pemerintahan baik secara vertikal maupun horisontal, serta diperlukan pula sinergi antara pemerintah, pihak swasta dan masyarakat dengan pendekatan multi pihak dari ketiga kelompok tersebut dalam penyusunan rencana dan kebijakan pembangunan yang berwawasan lingkungan.","author":[{"dropping-particle":"","family":"Suparmoko","given":"Muhammad","non-dropping-particle":"","parse-names":false,"suffix":""}],"container-title":"Jurnal Ekonomika dan Manajemen","id":"ITEM-1","issue":"1","issued":{"date-parts":[["2020"]]},"page":"39-50","title":"Pembangunan Nasional Dan Regional","type":"article-journal","volume":"9"},"uris":["http://www.mendeley.com/documents/?uuid=5186e721-ceca-41ba-b121-a5d1301634e2"]}],"mendeley":{"formattedCitation":"(Suparmoko 2020)","plainTextFormattedCitation":"(Suparmoko 2020)","previouslyFormattedCitation":"(Suparmoko 2020)"},"properties":{"noteIndex":0},"schema":"https://github.com/citation-style-language/schema/raw/master/csl-citation.json"}</w:instrText>
      </w:r>
      <w:r w:rsidRPr="008817EF">
        <w:rPr>
          <w:rFonts w:ascii="Times New Roman" w:hAnsi="Times New Roman" w:cs="Times New Roman"/>
          <w:sz w:val="20"/>
          <w:szCs w:val="20"/>
        </w:rPr>
        <w:fldChar w:fldCharType="separate"/>
      </w:r>
      <w:r w:rsidRPr="008817EF">
        <w:rPr>
          <w:rFonts w:ascii="Times New Roman" w:hAnsi="Times New Roman" w:cs="Times New Roman"/>
          <w:noProof/>
          <w:sz w:val="20"/>
          <w:szCs w:val="20"/>
        </w:rPr>
        <w:t>(Suparmoko 2020)</w:t>
      </w:r>
      <w:r w:rsidRPr="008817EF">
        <w:rPr>
          <w:rFonts w:ascii="Times New Roman" w:hAnsi="Times New Roman" w:cs="Times New Roman"/>
          <w:sz w:val="20"/>
          <w:szCs w:val="20"/>
        </w:rPr>
        <w:fldChar w:fldCharType="end"/>
      </w:r>
      <w:r w:rsidR="008817EF">
        <w:rPr>
          <w:rFonts w:ascii="Times New Roman" w:hAnsi="Times New Roman" w:cs="Times New Roman"/>
          <w:sz w:val="20"/>
          <w:szCs w:val="20"/>
        </w:rPr>
        <w:t>.</w:t>
      </w:r>
      <w:r w:rsidRPr="008817EF">
        <w:rPr>
          <w:rFonts w:ascii="Times New Roman" w:hAnsi="Times New Roman" w:cs="Times New Roman"/>
          <w:sz w:val="20"/>
          <w:szCs w:val="20"/>
        </w:rPr>
        <w:tab/>
      </w:r>
    </w:p>
    <w:p w14:paraId="0EC14F89" w14:textId="77777777" w:rsidR="0062050B" w:rsidRPr="0062050B" w:rsidRDefault="0062050B" w:rsidP="008B2C24">
      <w:pPr>
        <w:pStyle w:val="ListParagraph"/>
        <w:numPr>
          <w:ilvl w:val="0"/>
          <w:numId w:val="33"/>
        </w:numPr>
        <w:spacing w:line="240" w:lineRule="auto"/>
        <w:jc w:val="both"/>
        <w:rPr>
          <w:rFonts w:ascii="Times New Roman" w:hAnsi="Times New Roman" w:cs="Times New Roman"/>
          <w:i/>
          <w:iCs/>
          <w:vanish/>
          <w:sz w:val="24"/>
          <w:szCs w:val="24"/>
        </w:rPr>
      </w:pPr>
    </w:p>
    <w:p w14:paraId="6277687A" w14:textId="2914E40F" w:rsidR="00C6734A" w:rsidRPr="0062050B" w:rsidRDefault="0062050B" w:rsidP="00007546">
      <w:pPr>
        <w:pStyle w:val="ListParagraph"/>
        <w:numPr>
          <w:ilvl w:val="0"/>
          <w:numId w:val="33"/>
        </w:numPr>
        <w:spacing w:after="0" w:line="240" w:lineRule="auto"/>
        <w:jc w:val="both"/>
        <w:rPr>
          <w:rFonts w:ascii="Times New Roman" w:hAnsi="Times New Roman" w:cs="Times New Roman"/>
          <w:i/>
          <w:iCs/>
          <w:sz w:val="24"/>
          <w:szCs w:val="24"/>
        </w:rPr>
      </w:pPr>
      <w:r>
        <w:rPr>
          <w:rFonts w:ascii="Times New Roman" w:hAnsi="Times New Roman" w:cs="Times New Roman"/>
          <w:i/>
          <w:iCs/>
          <w:sz w:val="24"/>
          <w:szCs w:val="24"/>
        </w:rPr>
        <w:t xml:space="preserve"> </w:t>
      </w:r>
      <w:r w:rsidR="00C6734A" w:rsidRPr="0062050B">
        <w:rPr>
          <w:rFonts w:ascii="Times New Roman" w:hAnsi="Times New Roman" w:cs="Times New Roman"/>
          <w:i/>
          <w:iCs/>
          <w:sz w:val="24"/>
          <w:szCs w:val="24"/>
        </w:rPr>
        <w:t>Peran Kebijakan Moneter Dalam Upaya Pembangunan Ekonomi Berkelanjutan</w:t>
      </w:r>
    </w:p>
    <w:p w14:paraId="1530F02E" w14:textId="77777777" w:rsidR="002B0268" w:rsidRDefault="00C6734A" w:rsidP="00007546">
      <w:pPr>
        <w:spacing w:after="0" w:line="240" w:lineRule="auto"/>
        <w:ind w:firstLine="360"/>
        <w:jc w:val="both"/>
        <w:rPr>
          <w:rFonts w:ascii="Times New Roman" w:hAnsi="Times New Roman" w:cs="Times New Roman"/>
          <w:sz w:val="20"/>
          <w:szCs w:val="20"/>
        </w:rPr>
      </w:pPr>
      <w:r w:rsidRPr="008817EF">
        <w:rPr>
          <w:rFonts w:ascii="Times New Roman" w:hAnsi="Times New Roman" w:cs="Times New Roman"/>
          <w:sz w:val="20"/>
          <w:szCs w:val="20"/>
        </w:rPr>
        <w:t>Peran kebijakan moneter dalam mendukung pembangunan ekonomi yang</w:t>
      </w:r>
      <w:r w:rsidR="00AF46BB" w:rsidRPr="008817EF">
        <w:rPr>
          <w:rFonts w:ascii="Times New Roman" w:hAnsi="Times New Roman" w:cs="Times New Roman"/>
          <w:sz w:val="20"/>
          <w:szCs w:val="20"/>
        </w:rPr>
        <w:t xml:space="preserve"> </w:t>
      </w:r>
      <w:r w:rsidRPr="008817EF">
        <w:rPr>
          <w:rFonts w:ascii="Times New Roman" w:hAnsi="Times New Roman" w:cs="Times New Roman"/>
          <w:sz w:val="20"/>
          <w:szCs w:val="20"/>
        </w:rPr>
        <w:t>berkelanjutan, terutama dalam konteks ekonomi syariah, memiliki implikasi yang sangat</w:t>
      </w:r>
      <w:r w:rsidR="00AF46BB" w:rsidRPr="008817EF">
        <w:rPr>
          <w:rFonts w:ascii="Times New Roman" w:hAnsi="Times New Roman" w:cs="Times New Roman"/>
          <w:sz w:val="20"/>
          <w:szCs w:val="20"/>
        </w:rPr>
        <w:t xml:space="preserve"> </w:t>
      </w:r>
      <w:r w:rsidRPr="008817EF">
        <w:rPr>
          <w:rFonts w:ascii="Times New Roman" w:hAnsi="Times New Roman" w:cs="Times New Roman"/>
          <w:sz w:val="20"/>
          <w:szCs w:val="20"/>
        </w:rPr>
        <w:t>penting dan kompleks. Kebijakan moneter, yang mencakup pengaturan suku bunga,</w:t>
      </w:r>
      <w:r w:rsidR="00AF46BB" w:rsidRPr="008817EF">
        <w:rPr>
          <w:rFonts w:ascii="Times New Roman" w:hAnsi="Times New Roman" w:cs="Times New Roman"/>
          <w:sz w:val="20"/>
          <w:szCs w:val="20"/>
        </w:rPr>
        <w:t xml:space="preserve"> </w:t>
      </w:r>
      <w:r w:rsidRPr="008817EF">
        <w:rPr>
          <w:rFonts w:ascii="Times New Roman" w:hAnsi="Times New Roman" w:cs="Times New Roman"/>
          <w:sz w:val="20"/>
          <w:szCs w:val="20"/>
        </w:rPr>
        <w:t>pengendalian inflasi, dan manajemen likuiditas, memegang peran krusial dalam</w:t>
      </w:r>
      <w:r w:rsidR="00AF46BB" w:rsidRPr="008817EF">
        <w:rPr>
          <w:rFonts w:ascii="Times New Roman" w:hAnsi="Times New Roman" w:cs="Times New Roman"/>
          <w:sz w:val="20"/>
          <w:szCs w:val="20"/>
        </w:rPr>
        <w:t xml:space="preserve"> </w:t>
      </w:r>
      <w:r w:rsidRPr="008817EF">
        <w:rPr>
          <w:rFonts w:ascii="Times New Roman" w:hAnsi="Times New Roman" w:cs="Times New Roman"/>
          <w:sz w:val="20"/>
          <w:szCs w:val="20"/>
        </w:rPr>
        <w:t>mengarahkan pertumbuhan ekonomi suatu negara. Seperti dalam penelitian yang</w:t>
      </w:r>
      <w:r w:rsidR="00AF46BB" w:rsidRPr="008817EF">
        <w:rPr>
          <w:rFonts w:ascii="Times New Roman" w:hAnsi="Times New Roman" w:cs="Times New Roman"/>
          <w:sz w:val="20"/>
          <w:szCs w:val="20"/>
        </w:rPr>
        <w:t xml:space="preserve"> </w:t>
      </w:r>
      <w:r w:rsidRPr="008817EF">
        <w:rPr>
          <w:rFonts w:ascii="Times New Roman" w:hAnsi="Times New Roman" w:cs="Times New Roman"/>
          <w:sz w:val="20"/>
          <w:szCs w:val="20"/>
        </w:rPr>
        <w:t>dilakukan oleh Indah Aminah Putri dkk pada tahun 2022, strategi terkait uang danpengaruhnya terhadap peningkatan keuangan dalam survei Islam yang mengungkapbahwa pengaturan terkait uang adalah media atau tahap yang digunakan oleh banknasional suatu negara untuk memiliki pilihan untuk mengawasi faktor-faktor Pengaturan</w:t>
      </w:r>
      <w:r w:rsidR="00AF46BB" w:rsidRPr="008817EF">
        <w:rPr>
          <w:rFonts w:ascii="Times New Roman" w:hAnsi="Times New Roman" w:cs="Times New Roman"/>
          <w:sz w:val="20"/>
          <w:szCs w:val="20"/>
        </w:rPr>
        <w:t xml:space="preserve"> </w:t>
      </w:r>
      <w:r w:rsidRPr="008817EF">
        <w:rPr>
          <w:rFonts w:ascii="Times New Roman" w:hAnsi="Times New Roman" w:cs="Times New Roman"/>
          <w:sz w:val="20"/>
          <w:szCs w:val="20"/>
        </w:rPr>
        <w:t>keuangan berpusat pada pengendalian komponen moneter yang berbeda dari suatu</w:t>
      </w:r>
      <w:r w:rsidR="00AF46BB" w:rsidRPr="008817EF">
        <w:rPr>
          <w:rFonts w:ascii="Times New Roman" w:hAnsi="Times New Roman" w:cs="Times New Roman"/>
          <w:sz w:val="20"/>
          <w:szCs w:val="20"/>
        </w:rPr>
        <w:t xml:space="preserve"> </w:t>
      </w:r>
      <w:r w:rsidRPr="008817EF">
        <w:rPr>
          <w:rFonts w:ascii="Times New Roman" w:hAnsi="Times New Roman" w:cs="Times New Roman"/>
          <w:sz w:val="20"/>
          <w:szCs w:val="20"/>
        </w:rPr>
        <w:t>negara, termasuk biaya pinjaman dan nilai uangnya. Stabilitas nilai mata uang adalahtujuannya, terlepas dari apakah itu dipengaruhi oleh faktor internal atau eksternal.</w:t>
      </w:r>
      <w:r w:rsidR="003C6791" w:rsidRPr="008817EF">
        <w:rPr>
          <w:rFonts w:ascii="Times New Roman" w:hAnsi="Times New Roman" w:cs="Times New Roman"/>
          <w:sz w:val="20"/>
          <w:szCs w:val="20"/>
        </w:rPr>
        <w:t xml:space="preserve"> </w:t>
      </w:r>
      <w:r w:rsidRPr="008817EF">
        <w:rPr>
          <w:rFonts w:ascii="Times New Roman" w:hAnsi="Times New Roman" w:cs="Times New Roman"/>
          <w:sz w:val="20"/>
          <w:szCs w:val="20"/>
        </w:rPr>
        <w:t>Mencapai pemerataan yang ideal, memenuhi kebutuhan dasar, menurunkan tingka tpengangguran, mendorong ekspansi ekonomi yang sebenarnya, dan memastikanstabilitas ekonomi secara keseluruhan adalah beberapa tujuan yang terkait denganstabilitas nilai tukar. Ini adalah contoh-contoh tujuan yang harus dicapai agar sebuahnegara dapat mengeksplorasi masa depannya dengan sukses (Latifah, 2015). Sertapenelitian yang dilakukan oleh Milla Naeruz pada tahun 2021 mengenai perkembanganperbankan syariah terhadap UMKM melalui kebijakan moneter menjelaskanbahwasannya Kebijakan moneter mengacu pada strategi yang diambil oleh bank sentral,seperti Bank Indonesia, dengan tujuan menjaga dan mencapai stabilitas nilai mata uangyang dapat dipertukarkan. Hal ini dicapai melalui langkah-langkah seperti mengatur volume uang yang beredar dan menetapkan tingkat suku bunga. Tindakan kebijakan ini dilakukan untuk menyesuaikan jumlah uang beredar atau mengubah suku bunga yang berlaku, sehingga menjamin stabilitas perekonomian.</w:t>
      </w:r>
      <w:r w:rsidR="00804364" w:rsidRPr="008817EF">
        <w:rPr>
          <w:rFonts w:ascii="Times New Roman" w:hAnsi="Times New Roman" w:cs="Times New Roman"/>
          <w:sz w:val="20"/>
          <w:szCs w:val="20"/>
        </w:rPr>
        <w:t xml:space="preserve"> </w:t>
      </w:r>
      <w:r w:rsidR="00804364" w:rsidRPr="008817EF">
        <w:rPr>
          <w:rFonts w:ascii="Times New Roman" w:hAnsi="Times New Roman" w:cs="Times New Roman"/>
          <w:sz w:val="20"/>
          <w:szCs w:val="20"/>
        </w:rPr>
        <w:fldChar w:fldCharType="begin" w:fldLock="1"/>
      </w:r>
      <w:r w:rsidR="00804364" w:rsidRPr="008817EF">
        <w:rPr>
          <w:rFonts w:ascii="Times New Roman" w:hAnsi="Times New Roman" w:cs="Times New Roman"/>
          <w:sz w:val="20"/>
          <w:szCs w:val="20"/>
        </w:rPr>
        <w:instrText>ADDIN CSL_CITATION {"citationItems":[{"id":"ITEM-1","itemData":{"author":[{"dropping-particle":"","family":"Safitri","given":"Riska Aulia","non-dropping-particle":"","parse-names":false,"suffix":""},{"dropping-particle":"","family":"Faqih","given":"Abdulloh","non-dropping-particle":"","parse-names":false,"suffix":""},{"dropping-particle":"","family":"Madura","given":"Universitas Trunojoyo","non-dropping-particle":"","parse-names":false,"suffix":""}],"id":"ITEM-1","issue":"6","issued":{"date-parts":[["2024"]]},"title":"Analisis peran kebijakan moneter dalam upaya pembangunan ekonomi berkelanjutan dalam tinjauan ekonomi syariah","type":"article-journal","volume":"2"},"uris":["http://www.mendeley.com/documents/?uuid=3cfcb244-0abc-43b3-afd6-737f7dd6f31c"]}],"mendeley":{"formattedCitation":"(Safitri, Faqih, and Madura 2024)","plainTextFormattedCitation":"(Safitri, Faqih, and Madura 2024)","previouslyFormattedCitation":"(Safitri, Faqih, and Madura 2024)"},"properties":{"noteIndex":0},"schema":"https://github.com/citation-style-language/schema/raw/master/csl-citation.json"}</w:instrText>
      </w:r>
      <w:r w:rsidR="00804364" w:rsidRPr="008817EF">
        <w:rPr>
          <w:rFonts w:ascii="Times New Roman" w:hAnsi="Times New Roman" w:cs="Times New Roman"/>
          <w:sz w:val="20"/>
          <w:szCs w:val="20"/>
        </w:rPr>
        <w:fldChar w:fldCharType="separate"/>
      </w:r>
      <w:r w:rsidR="00804364" w:rsidRPr="008817EF">
        <w:rPr>
          <w:rFonts w:ascii="Times New Roman" w:hAnsi="Times New Roman" w:cs="Times New Roman"/>
          <w:noProof/>
          <w:sz w:val="20"/>
          <w:szCs w:val="20"/>
        </w:rPr>
        <w:t>(Safitri, Faqih, and Madura 2024)</w:t>
      </w:r>
      <w:r w:rsidR="00804364" w:rsidRPr="008817EF">
        <w:rPr>
          <w:rFonts w:ascii="Times New Roman" w:hAnsi="Times New Roman" w:cs="Times New Roman"/>
          <w:sz w:val="20"/>
          <w:szCs w:val="20"/>
        </w:rPr>
        <w:fldChar w:fldCharType="end"/>
      </w:r>
      <w:r w:rsidR="008817EF" w:rsidRPr="008817EF">
        <w:rPr>
          <w:rFonts w:ascii="Times New Roman" w:hAnsi="Times New Roman" w:cs="Times New Roman"/>
          <w:sz w:val="20"/>
          <w:szCs w:val="20"/>
        </w:rPr>
        <w:t>.</w:t>
      </w:r>
    </w:p>
    <w:p w14:paraId="5E1820F1" w14:textId="09582285" w:rsidR="00C6734A" w:rsidRPr="008817EF" w:rsidRDefault="00C6734A" w:rsidP="002B0268">
      <w:pPr>
        <w:spacing w:after="0" w:line="240" w:lineRule="auto"/>
        <w:ind w:firstLine="360"/>
        <w:jc w:val="both"/>
        <w:rPr>
          <w:rFonts w:ascii="Times New Roman" w:hAnsi="Times New Roman" w:cs="Times New Roman"/>
          <w:sz w:val="20"/>
          <w:szCs w:val="20"/>
        </w:rPr>
      </w:pPr>
      <w:r w:rsidRPr="008817EF">
        <w:rPr>
          <w:rFonts w:ascii="Times New Roman" w:hAnsi="Times New Roman" w:cs="Times New Roman"/>
          <w:sz w:val="20"/>
          <w:szCs w:val="20"/>
        </w:rPr>
        <w:lastRenderedPageBreak/>
        <w:t>Dalam ekonomi syariah, kebijakan moneter juga harus mencerminkan prinsip-prinsip syariah yang menentang riba dan mendorong distribusi pendapatan yang lebihadil. Adanya kebijakan moneter berkontribusi dalam menciptakan lingkunganmakroekonomi yang stabil, yang merupakan prasyarat bagi pembangunan ekonomi yangberkelanjutan(Yupita dkk., 2023). Dengan menggunakan instrumen-instrumen sepertipengaturan suku bunga dan pengendalian inflasi, kebijakan moneter membantu menjagastabilitas harga, memungkinkan pelaku ekonomi untuk merencanakan investasi jangka</w:t>
      </w:r>
      <w:r w:rsidR="003C6791" w:rsidRPr="008817EF">
        <w:rPr>
          <w:rFonts w:ascii="Times New Roman" w:hAnsi="Times New Roman" w:cs="Times New Roman"/>
          <w:sz w:val="20"/>
          <w:szCs w:val="20"/>
        </w:rPr>
        <w:t xml:space="preserve"> </w:t>
      </w:r>
      <w:r w:rsidRPr="008817EF">
        <w:rPr>
          <w:rFonts w:ascii="Times New Roman" w:hAnsi="Times New Roman" w:cs="Times New Roman"/>
          <w:sz w:val="20"/>
          <w:szCs w:val="20"/>
        </w:rPr>
        <w:t>panjang dengan lebih baik. Dalam konteks ekonomi syariah, stabilitas harga juga pentinguntuk memastikan bahwa prinsip-prinsip etika syariah, seperti keadilan dan kestabilan,terjaga dalam proses pembangunan ekonomi. Kebijakan moneter juga berdampak padadistribusi pendapatan dalam masyarakat. Ketika suku bunga dinaikkan secara signifikan,ini dapat menghambat akses terhadap modal bagi sektor-sektor ekonomi yang lebih rentan, seperti Usaha Kecil dan Menengah (UKM) atau sektor informal(Ardila Sari dkk.,t.t.).</w:t>
      </w:r>
    </w:p>
    <w:p w14:paraId="6A95CA6F" w14:textId="77777777" w:rsidR="002B0268" w:rsidRDefault="00C6734A" w:rsidP="002B0268">
      <w:pPr>
        <w:spacing w:after="0" w:line="240" w:lineRule="auto"/>
        <w:ind w:firstLine="360"/>
        <w:jc w:val="both"/>
        <w:rPr>
          <w:rFonts w:ascii="Times New Roman" w:hAnsi="Times New Roman" w:cs="Times New Roman"/>
          <w:sz w:val="20"/>
          <w:szCs w:val="20"/>
        </w:rPr>
      </w:pPr>
      <w:r w:rsidRPr="008817EF">
        <w:rPr>
          <w:rFonts w:ascii="Times New Roman" w:hAnsi="Times New Roman" w:cs="Times New Roman"/>
          <w:sz w:val="20"/>
          <w:szCs w:val="20"/>
        </w:rPr>
        <w:t>Sebaliknya, kebijakan moneter yang lebih longgar dapat mendorongpertumbuhan ekonomi yang lebih inklusif dengan memfasilitasi akses terhadap kreditbagi pelaku usaha kecil dan masyarakat yang kurang mampu. Dalam ekonomi syariah,peran kebijakan moneter dalam distribusi pendapatan menjadi lebih penting karenaprinsip-prinsip keadilan ekonomi syariah menekankan perlunya memperhatikankesejahteraan sosial dan mengurangi kesenjangan ekonomi(Naeruz, t.t.). Dalamkebijakan moneter juga mempengaruhi investasi yang berkelanjutan dan pelestarianlingkungan. Dengan memberikan insentif keuangan yang sesuai, seperti suku bunga yanglebih rendah untuk investasi yang ramah lingkungan atau berbasis syariah, kebijakanmoneter dapat mendorong pengembangan sektor-sektor ekonomi yang berkontribusipada pembangunan berkelanjutan(Solechah &amp; Sugito, 2023).</w:t>
      </w:r>
    </w:p>
    <w:p w14:paraId="75296558" w14:textId="79952ABF" w:rsidR="0062050B" w:rsidRPr="008817EF" w:rsidRDefault="00C6734A" w:rsidP="002B0268">
      <w:pPr>
        <w:spacing w:line="240" w:lineRule="auto"/>
        <w:ind w:firstLine="360"/>
        <w:jc w:val="both"/>
        <w:rPr>
          <w:rFonts w:ascii="Times New Roman" w:hAnsi="Times New Roman" w:cs="Times New Roman"/>
          <w:sz w:val="20"/>
          <w:szCs w:val="20"/>
        </w:rPr>
      </w:pPr>
      <w:r w:rsidRPr="008817EF">
        <w:rPr>
          <w:rFonts w:ascii="Times New Roman" w:hAnsi="Times New Roman" w:cs="Times New Roman"/>
          <w:sz w:val="20"/>
          <w:szCs w:val="20"/>
        </w:rPr>
        <w:t>Dalam konteks ekonomi syariah, prinsip-prinsip lingkungan hidup yang</w:t>
      </w:r>
      <w:r w:rsidR="00495E77" w:rsidRPr="008817EF">
        <w:rPr>
          <w:rFonts w:ascii="Times New Roman" w:hAnsi="Times New Roman" w:cs="Times New Roman"/>
          <w:sz w:val="20"/>
          <w:szCs w:val="20"/>
        </w:rPr>
        <w:t xml:space="preserve"> </w:t>
      </w:r>
      <w:r w:rsidRPr="008817EF">
        <w:rPr>
          <w:rFonts w:ascii="Times New Roman" w:hAnsi="Times New Roman" w:cs="Times New Roman"/>
          <w:sz w:val="20"/>
          <w:szCs w:val="20"/>
        </w:rPr>
        <w:t>terkandung dalam konsep "halal" dan "haram" juga harus dipertimbangkan dalammerumuskan kebijakan moneter yang mendukung pembangunan ekonomi yangberkelanjutan. Dengan demikian, peran kebijakan moneter dalam mendukungpembangunan ekonomi berkelanjutan, terutama dalam konteks ekonomi syariah, tidakhanya terbatas pada menjaga stabilitas harga atau mengendalikan inflasi. Kebijakanmoneter yang bijaksana dan berorientasi pada prinsip-prinsip ekonomi syariah dapatmenjadi salah satu elemen kunci dalam mendorong pertumbuhan ekonomi yang inklusif,adil, dan berkelanjutan, sejalan dengan tujuan pembangunan berkelanjutan secarakeseluruhan (Madubun dkk., 2023).</w:t>
      </w:r>
    </w:p>
    <w:p w14:paraId="76063E47" w14:textId="62E08D46" w:rsidR="00C6734A" w:rsidRPr="0062050B" w:rsidRDefault="0062050B" w:rsidP="00007546">
      <w:pPr>
        <w:pStyle w:val="ListParagraph"/>
        <w:numPr>
          <w:ilvl w:val="0"/>
          <w:numId w:val="33"/>
        </w:numPr>
        <w:spacing w:after="0" w:line="240" w:lineRule="auto"/>
        <w:jc w:val="both"/>
        <w:rPr>
          <w:rFonts w:ascii="Times New Roman" w:hAnsi="Times New Roman" w:cs="Times New Roman"/>
          <w:i/>
          <w:iCs/>
          <w:sz w:val="24"/>
          <w:szCs w:val="24"/>
        </w:rPr>
      </w:pPr>
      <w:r w:rsidRPr="0062050B">
        <w:rPr>
          <w:rFonts w:ascii="Times New Roman" w:hAnsi="Times New Roman" w:cs="Times New Roman"/>
          <w:i/>
          <w:iCs/>
          <w:sz w:val="24"/>
          <w:szCs w:val="24"/>
        </w:rPr>
        <w:t xml:space="preserve"> </w:t>
      </w:r>
      <w:r w:rsidR="00C6734A" w:rsidRPr="0062050B">
        <w:rPr>
          <w:rFonts w:ascii="Times New Roman" w:hAnsi="Times New Roman" w:cs="Times New Roman"/>
          <w:i/>
          <w:iCs/>
          <w:sz w:val="24"/>
          <w:szCs w:val="24"/>
        </w:rPr>
        <w:t>Dasar Hukum dan Prinsip</w:t>
      </w:r>
    </w:p>
    <w:p w14:paraId="689029C5" w14:textId="62D8D8C3" w:rsidR="00C6734A" w:rsidRDefault="00C6734A" w:rsidP="00007546">
      <w:pPr>
        <w:spacing w:after="0" w:line="240" w:lineRule="auto"/>
        <w:ind w:firstLine="360"/>
        <w:jc w:val="both"/>
        <w:rPr>
          <w:rFonts w:ascii="Times New Roman" w:hAnsi="Times New Roman" w:cs="Times New Roman"/>
          <w:sz w:val="20"/>
          <w:szCs w:val="20"/>
        </w:rPr>
      </w:pPr>
      <w:r w:rsidRPr="008817EF">
        <w:rPr>
          <w:rFonts w:ascii="Times New Roman" w:hAnsi="Times New Roman" w:cs="Times New Roman"/>
          <w:sz w:val="20"/>
          <w:szCs w:val="20"/>
        </w:rPr>
        <w:t>Kebijakan moneter konvensional berlandaskan pada prinsip ekonomi liberal yang menekankan pada mekanisme pasar bebas dan pemanfaatan bunga sebagai instrumen utama dalam pengelolaan perekonomian. Dalam sistem ini, bank sentral mengatur suku bunga dengan tujuan untuk mencapai target inflasi, pertumbuhan ekonomi, dan stabilitas keuangan. Sebaliknya, kebijakan moneter syariah berlandaskan pada prinsip-prinsip ajaran Islam, yang secara tegas melarang riba (bunga) dan praktik-praktik yang dianggap merugikan masyarakat. Oleh karena itu, kebijakan moneter syariah fokus pada penciptaan keadilan sosial dan redistribusi kekayaan, serta mempromosikan praktik bisnis yang etis dan berkelanjutan.</w:t>
      </w:r>
      <w:r w:rsidR="00B04897" w:rsidRPr="008817EF">
        <w:rPr>
          <w:rFonts w:ascii="Times New Roman" w:hAnsi="Times New Roman" w:cs="Times New Roman"/>
          <w:sz w:val="20"/>
          <w:szCs w:val="20"/>
        </w:rPr>
        <w:t xml:space="preserve"> </w:t>
      </w:r>
      <w:r w:rsidR="00B04897" w:rsidRPr="008817EF">
        <w:rPr>
          <w:rFonts w:ascii="Times New Roman" w:hAnsi="Times New Roman" w:cs="Times New Roman"/>
          <w:sz w:val="20"/>
          <w:szCs w:val="20"/>
        </w:rPr>
        <w:fldChar w:fldCharType="begin" w:fldLock="1"/>
      </w:r>
      <w:r w:rsidR="00117894" w:rsidRPr="008817EF">
        <w:rPr>
          <w:rFonts w:ascii="Times New Roman" w:hAnsi="Times New Roman" w:cs="Times New Roman"/>
          <w:sz w:val="20"/>
          <w:szCs w:val="20"/>
        </w:rPr>
        <w:instrText>ADDIN CSL_CITATION {"citationItems":[{"id":"ITEM-1","itemData":{"ISBN":"9786026004291","abstract":"Mahasiswa mampu menjelaskan bahwa cara pandang hidup Islam mendasari perilaku seorang muslim dalam kehidupan sehari-harinya di berbagai bidang, mulai dari sosial, ekonomi, politik, pendidikan, dan lainnya","author":[{"dropping-particle":"","family":"Nofrianto","given":"","non-dropping-particle":"","parse-names":false,"suffix":""},{"dropping-particle":"","family":"Ibrahim","given":"Azharsyah","non-dropping-particle":"","parse-names":false,"suffix":""},{"dropping-particle":"","family":"Kholis","given":"Erika Amelia | Nashr Akbar Nur","non-dropping-particle":"","parse-names":false,"suffix":""},{"dropping-particle":"","family":"Utami","given":"Suci Aprilliani","non-dropping-particle":"","parse-names":false,"suffix":""}],"container-title":"Departemen Ekonomi dan Keuangan Syariah - Bank Indonesia","id":"ITEM-1","issued":{"date-parts":[["2021"]]},"number-of-pages":"698","title":"Pengatar Ekonomi Syariah","type":"book"},"uris":["http://www.mendeley.com/documents/?uuid=74899efb-81cc-4638-ad76-4327a178c767"]}],"mendeley":{"formattedCitation":"(Nofrianto et al. 2021)","plainTextFormattedCitation":"(Nofrianto et al. 2021)","previouslyFormattedCitation":"(Nofrianto et al. 2021)"},"properties":{"noteIndex":0},"schema":"https://github.com/citation-style-language/schema/raw/master/csl-citation.json"}</w:instrText>
      </w:r>
      <w:r w:rsidR="00B04897" w:rsidRPr="008817EF">
        <w:rPr>
          <w:rFonts w:ascii="Times New Roman" w:hAnsi="Times New Roman" w:cs="Times New Roman"/>
          <w:sz w:val="20"/>
          <w:szCs w:val="20"/>
        </w:rPr>
        <w:fldChar w:fldCharType="separate"/>
      </w:r>
      <w:r w:rsidR="00B04897" w:rsidRPr="008817EF">
        <w:rPr>
          <w:rFonts w:ascii="Times New Roman" w:hAnsi="Times New Roman" w:cs="Times New Roman"/>
          <w:noProof/>
          <w:sz w:val="20"/>
          <w:szCs w:val="20"/>
        </w:rPr>
        <w:t>(Nofrianto et al. 2021)</w:t>
      </w:r>
      <w:r w:rsidR="00B04897" w:rsidRPr="008817EF">
        <w:rPr>
          <w:rFonts w:ascii="Times New Roman" w:hAnsi="Times New Roman" w:cs="Times New Roman"/>
          <w:sz w:val="20"/>
          <w:szCs w:val="20"/>
        </w:rPr>
        <w:fldChar w:fldCharType="end"/>
      </w:r>
      <w:r w:rsidR="008817EF" w:rsidRPr="008817EF">
        <w:rPr>
          <w:rFonts w:ascii="Times New Roman" w:hAnsi="Times New Roman" w:cs="Times New Roman"/>
          <w:sz w:val="20"/>
          <w:szCs w:val="20"/>
        </w:rPr>
        <w:t>.</w:t>
      </w:r>
    </w:p>
    <w:p w14:paraId="6D542E56" w14:textId="77777777" w:rsidR="00007546" w:rsidRPr="008817EF" w:rsidRDefault="00007546" w:rsidP="00007546">
      <w:pPr>
        <w:spacing w:after="0" w:line="240" w:lineRule="auto"/>
        <w:ind w:firstLine="360"/>
        <w:jc w:val="both"/>
        <w:rPr>
          <w:rFonts w:ascii="Times New Roman" w:hAnsi="Times New Roman" w:cs="Times New Roman"/>
          <w:sz w:val="20"/>
          <w:szCs w:val="20"/>
        </w:rPr>
      </w:pPr>
    </w:p>
    <w:p w14:paraId="7D9F4DB1" w14:textId="24098859" w:rsidR="00C6734A" w:rsidRPr="0062050B" w:rsidRDefault="0062050B" w:rsidP="00007546">
      <w:pPr>
        <w:pStyle w:val="ListParagraph"/>
        <w:numPr>
          <w:ilvl w:val="0"/>
          <w:numId w:val="33"/>
        </w:numPr>
        <w:spacing w:after="0" w:line="240" w:lineRule="auto"/>
        <w:jc w:val="both"/>
        <w:rPr>
          <w:rFonts w:ascii="Times New Roman" w:hAnsi="Times New Roman" w:cs="Times New Roman"/>
          <w:i/>
          <w:iCs/>
          <w:sz w:val="24"/>
          <w:szCs w:val="24"/>
        </w:rPr>
      </w:pPr>
      <w:r>
        <w:rPr>
          <w:rFonts w:ascii="Times New Roman" w:hAnsi="Times New Roman" w:cs="Times New Roman"/>
          <w:b/>
          <w:bCs/>
          <w:sz w:val="24"/>
          <w:szCs w:val="24"/>
        </w:rPr>
        <w:t xml:space="preserve"> </w:t>
      </w:r>
      <w:r w:rsidR="00C6734A" w:rsidRPr="0062050B">
        <w:rPr>
          <w:rFonts w:ascii="Times New Roman" w:hAnsi="Times New Roman" w:cs="Times New Roman"/>
          <w:i/>
          <w:iCs/>
          <w:sz w:val="24"/>
          <w:szCs w:val="24"/>
        </w:rPr>
        <w:t>Instrumen dan Praktik Pembiayaan</w:t>
      </w:r>
    </w:p>
    <w:p w14:paraId="63748B6A" w14:textId="4185C65F" w:rsidR="00C6734A" w:rsidRDefault="00C6734A" w:rsidP="00007546">
      <w:pPr>
        <w:spacing w:after="0" w:line="240" w:lineRule="auto"/>
        <w:ind w:firstLine="360"/>
        <w:jc w:val="both"/>
        <w:rPr>
          <w:rFonts w:ascii="Times New Roman" w:hAnsi="Times New Roman" w:cs="Times New Roman"/>
          <w:sz w:val="20"/>
          <w:szCs w:val="20"/>
        </w:rPr>
      </w:pPr>
      <w:r w:rsidRPr="008817EF">
        <w:rPr>
          <w:rFonts w:ascii="Times New Roman" w:hAnsi="Times New Roman" w:cs="Times New Roman"/>
          <w:sz w:val="20"/>
          <w:szCs w:val="20"/>
        </w:rPr>
        <w:t>Dalam kebijakan moneter konvensional, instrumen seperti pinjaman berbunga, obligasi, dan surat berharga pemerintah menjadi bagian penting dalam mengelola likuiditas dan mempengaruhi suku bunga. Bank sentral menggunakan instrumen ini untuk menarik atau menambah uang yang beredar di pasar. Sementara itu, dalam kebijakan moneter syariah, instrumen pembiayaan berbasis bagi hasil seperti mudharabah (kerjasama antara pemodal dan pengusaha) dan musyarakah (kemitraan) diutamakan. Ini memungkinkan kedua belah pihak berbagi risiko dan keuntungan tanpa terlibat dalam praktik riba, sehingga menciptakan hubungan yang lebih adil dan saling menguntungkan.</w:t>
      </w:r>
      <w:r w:rsidR="00B04897" w:rsidRPr="008817EF">
        <w:rPr>
          <w:rFonts w:ascii="Times New Roman" w:hAnsi="Times New Roman" w:cs="Times New Roman"/>
          <w:sz w:val="20"/>
          <w:szCs w:val="20"/>
        </w:rPr>
        <w:t xml:space="preserve"> </w:t>
      </w:r>
      <w:r w:rsidR="00117894" w:rsidRPr="008817EF">
        <w:rPr>
          <w:rFonts w:ascii="Times New Roman" w:hAnsi="Times New Roman" w:cs="Times New Roman"/>
          <w:sz w:val="20"/>
          <w:szCs w:val="20"/>
        </w:rPr>
        <w:fldChar w:fldCharType="begin" w:fldLock="1"/>
      </w:r>
      <w:r w:rsidR="00FE42B3" w:rsidRPr="008817EF">
        <w:rPr>
          <w:rFonts w:ascii="Times New Roman" w:hAnsi="Times New Roman" w:cs="Times New Roman"/>
          <w:sz w:val="20"/>
          <w:szCs w:val="20"/>
        </w:rPr>
        <w:instrText>ADDIN CSL_CITATION {"citationItems":[{"id":"ITEM-1","itemData":{"DOI":"10.15575/aksy.v4i2.26427","abstract":"In the era of globalization and technological advances, an understanding of economic law, both sharia and conventional, is becoming increasingly important. This article examines the comparison between Islamic economic law and conventional economic law in the context of methodology and practice. This study uses a descriptive and comparative analysis approach by reviewing various literature and previous research. The results of the study show that although they have different principles and principles, these two legal systems have several things in common, such as a focus on economic stability and consumer protection. However, the sharia economic law system emphasizes the aspects of fairness, transparency and risk sharing, while conventional economic law tends to focus on the aspects of profit and risk management. This article also shows that in some cases, the principles of Islamic economic law can provide innovative and sustainable alternative solutions to contemporary economic challenges. The conclusion of this article emphasizes the importance of better understanding and dialogue between the two legal systems to achieve the goal of a more inclusive and sustainable economy.","author":[{"dropping-particle":"","family":"Gani","given":"Ahmad Abdul","non-dropping-particle":"","parse-names":false,"suffix":""}],"container-title":"AKSY Jurnal Ilmu Akuntansi dan Bisnis Syariah","id":"ITEM-1","issue":"2","issued":{"date-parts":[["2022"]]},"page":"207-226","title":"Studi Komparatif Tentang Hukum Ekonomi Syariah Dan Hukum Ekonomi Konvensional: Sebuah Perbandingan Metodologi Dan Praktik","type":"article-journal","volume":"4"},"uris":["http://www.mendeley.com/documents/?uuid=645eefc1-f062-4007-ac77-7cc99c86ad1f"]}],"mendeley":{"formattedCitation":"(Gani 2022)","plainTextFormattedCitation":"(Gani 2022)","previouslyFormattedCitation":"(Gani 2022)"},"properties":{"noteIndex":0},"schema":"https://github.com/citation-style-language/schema/raw/master/csl-citation.json"}</w:instrText>
      </w:r>
      <w:r w:rsidR="00117894" w:rsidRPr="008817EF">
        <w:rPr>
          <w:rFonts w:ascii="Times New Roman" w:hAnsi="Times New Roman" w:cs="Times New Roman"/>
          <w:sz w:val="20"/>
          <w:szCs w:val="20"/>
        </w:rPr>
        <w:fldChar w:fldCharType="separate"/>
      </w:r>
      <w:r w:rsidR="00117894" w:rsidRPr="008817EF">
        <w:rPr>
          <w:rFonts w:ascii="Times New Roman" w:hAnsi="Times New Roman" w:cs="Times New Roman"/>
          <w:noProof/>
          <w:sz w:val="20"/>
          <w:szCs w:val="20"/>
        </w:rPr>
        <w:t>(Gani 2022)</w:t>
      </w:r>
      <w:r w:rsidR="00117894" w:rsidRPr="008817EF">
        <w:rPr>
          <w:rFonts w:ascii="Times New Roman" w:hAnsi="Times New Roman" w:cs="Times New Roman"/>
          <w:sz w:val="20"/>
          <w:szCs w:val="20"/>
        </w:rPr>
        <w:fldChar w:fldCharType="end"/>
      </w:r>
      <w:r w:rsidR="008817EF">
        <w:rPr>
          <w:rFonts w:ascii="Times New Roman" w:hAnsi="Times New Roman" w:cs="Times New Roman"/>
          <w:sz w:val="20"/>
          <w:szCs w:val="20"/>
        </w:rPr>
        <w:t>.</w:t>
      </w:r>
    </w:p>
    <w:p w14:paraId="5FB9AA78" w14:textId="77777777" w:rsidR="00007546" w:rsidRPr="008817EF" w:rsidRDefault="00007546" w:rsidP="00007546">
      <w:pPr>
        <w:spacing w:after="0" w:line="240" w:lineRule="auto"/>
        <w:ind w:firstLine="360"/>
        <w:jc w:val="both"/>
        <w:rPr>
          <w:rFonts w:ascii="Times New Roman" w:hAnsi="Times New Roman" w:cs="Times New Roman"/>
          <w:sz w:val="20"/>
          <w:szCs w:val="20"/>
        </w:rPr>
      </w:pPr>
    </w:p>
    <w:p w14:paraId="5FC8AF7D" w14:textId="77777777" w:rsidR="00007546" w:rsidRDefault="0062050B" w:rsidP="00007546">
      <w:pPr>
        <w:pStyle w:val="ListParagraph"/>
        <w:numPr>
          <w:ilvl w:val="0"/>
          <w:numId w:val="33"/>
        </w:numPr>
        <w:spacing w:after="0" w:line="240" w:lineRule="auto"/>
        <w:jc w:val="both"/>
        <w:rPr>
          <w:rFonts w:ascii="Times New Roman" w:hAnsi="Times New Roman" w:cs="Times New Roman"/>
          <w:i/>
          <w:iCs/>
          <w:sz w:val="24"/>
          <w:szCs w:val="24"/>
        </w:rPr>
      </w:pPr>
      <w:r>
        <w:rPr>
          <w:rFonts w:ascii="Times New Roman" w:hAnsi="Times New Roman" w:cs="Times New Roman"/>
          <w:i/>
          <w:iCs/>
          <w:sz w:val="24"/>
          <w:szCs w:val="24"/>
        </w:rPr>
        <w:t xml:space="preserve"> </w:t>
      </w:r>
      <w:r w:rsidR="00C6734A" w:rsidRPr="0062050B">
        <w:rPr>
          <w:rFonts w:ascii="Times New Roman" w:hAnsi="Times New Roman" w:cs="Times New Roman"/>
          <w:i/>
          <w:iCs/>
          <w:sz w:val="24"/>
          <w:szCs w:val="24"/>
        </w:rPr>
        <w:t>Penilaian Risiko dan Keputusan Investasi</w:t>
      </w:r>
    </w:p>
    <w:p w14:paraId="126F6A85" w14:textId="6D11D296" w:rsidR="00C6734A" w:rsidRPr="00007546" w:rsidRDefault="00C6734A" w:rsidP="00007546">
      <w:pPr>
        <w:spacing w:after="0" w:line="240" w:lineRule="auto"/>
        <w:ind w:firstLine="360"/>
        <w:jc w:val="both"/>
        <w:rPr>
          <w:rFonts w:ascii="Times New Roman" w:hAnsi="Times New Roman" w:cs="Times New Roman"/>
          <w:i/>
          <w:iCs/>
          <w:sz w:val="24"/>
          <w:szCs w:val="24"/>
        </w:rPr>
      </w:pPr>
      <w:r w:rsidRPr="00007546">
        <w:rPr>
          <w:rFonts w:ascii="Times New Roman" w:hAnsi="Times New Roman" w:cs="Times New Roman"/>
          <w:sz w:val="20"/>
          <w:szCs w:val="20"/>
        </w:rPr>
        <w:t>Kebijakan moneter konvensional seringkali berfokus pada analisis risiko yang berbasis pada profitabilitas jangka pendek dan pengembalian investasi. Hal ini dapat mendorong pengambilan keputusan yang lebih berorientasi pada keuntungan tanpa mempertimbangkan dampak sosial dan lingkungan dari investasi tersebut. Sebaliknya, dalam kebijakan moneter syariah, keputusan investasi harus mempertimbangkan aspek keberlanjutan dan dampak sosial, sesuai dengan prinsip maqashid syariah, yang menekankan pada perlindungan terhadap harta, jiwa, keturunan, akal, dan agama. Dengan demikian, kebijakan ini mendorong investasi yang lebih bertanggung jawab dan beretika.</w:t>
      </w:r>
      <w:r w:rsidR="00117894" w:rsidRPr="00007546">
        <w:rPr>
          <w:rFonts w:ascii="Times New Roman" w:hAnsi="Times New Roman" w:cs="Times New Roman"/>
          <w:sz w:val="20"/>
          <w:szCs w:val="20"/>
        </w:rPr>
        <w:t xml:space="preserve"> </w:t>
      </w:r>
    </w:p>
    <w:p w14:paraId="57562524" w14:textId="631EBEA9" w:rsidR="00C6734A" w:rsidRPr="0062050B" w:rsidRDefault="0062050B" w:rsidP="00007546">
      <w:pPr>
        <w:pStyle w:val="ListParagraph"/>
        <w:numPr>
          <w:ilvl w:val="0"/>
          <w:numId w:val="33"/>
        </w:numPr>
        <w:spacing w:before="240" w:after="0" w:line="240" w:lineRule="auto"/>
        <w:jc w:val="both"/>
        <w:rPr>
          <w:rFonts w:ascii="Times New Roman" w:hAnsi="Times New Roman" w:cs="Times New Roman"/>
          <w:i/>
          <w:iCs/>
          <w:sz w:val="24"/>
          <w:szCs w:val="24"/>
        </w:rPr>
      </w:pPr>
      <w:r w:rsidRPr="0062050B">
        <w:rPr>
          <w:rFonts w:ascii="Times New Roman" w:hAnsi="Times New Roman" w:cs="Times New Roman"/>
          <w:i/>
          <w:iCs/>
          <w:sz w:val="24"/>
          <w:szCs w:val="24"/>
        </w:rPr>
        <w:t xml:space="preserve"> </w:t>
      </w:r>
      <w:r w:rsidR="00C6734A" w:rsidRPr="0062050B">
        <w:rPr>
          <w:rFonts w:ascii="Times New Roman" w:hAnsi="Times New Roman" w:cs="Times New Roman"/>
          <w:i/>
          <w:iCs/>
          <w:sz w:val="24"/>
          <w:szCs w:val="24"/>
        </w:rPr>
        <w:t>Pengaruh terhadap Kesejahteraan Sosial</w:t>
      </w:r>
    </w:p>
    <w:p w14:paraId="58D93661" w14:textId="19F953B2" w:rsidR="0062050B" w:rsidRDefault="00C6734A" w:rsidP="00007546">
      <w:pPr>
        <w:spacing w:after="0" w:line="240" w:lineRule="auto"/>
        <w:ind w:firstLine="360"/>
        <w:jc w:val="both"/>
        <w:rPr>
          <w:rFonts w:ascii="Times New Roman" w:hAnsi="Times New Roman" w:cs="Times New Roman"/>
          <w:sz w:val="20"/>
          <w:szCs w:val="20"/>
        </w:rPr>
      </w:pPr>
      <w:r w:rsidRPr="0098279E">
        <w:rPr>
          <w:rFonts w:ascii="Times New Roman" w:hAnsi="Times New Roman" w:cs="Times New Roman"/>
          <w:sz w:val="20"/>
          <w:szCs w:val="20"/>
        </w:rPr>
        <w:t xml:space="preserve">Kebijakan moneter konvensional dapat menyebabkan ketimpangan ekonomi, terutama ketika kebijakan tersebut menguntungkan pihak-pihak tertentu, seperti pemilik modal besar, sementara kelompok masyarakat yang lebih lemah tetap terpinggirkan. Di sisi lain, kebijakan moneter syariah memiliki tujuan yang lebih inklusif, berupaya mengurangi kemiskinan dan ketimpangan dengan mendukung pembiayaan bagi usaha mikro, kecil, dan </w:t>
      </w:r>
      <w:r w:rsidRPr="0098279E">
        <w:rPr>
          <w:rFonts w:ascii="Times New Roman" w:hAnsi="Times New Roman" w:cs="Times New Roman"/>
          <w:sz w:val="20"/>
          <w:szCs w:val="20"/>
        </w:rPr>
        <w:lastRenderedPageBreak/>
        <w:t>menengah (UMKM) serta proyek-proyek yang memberikan manfaat bagi masyarakat. Dalam hal ini, kebijakan moneter syariah berfungsi sebagai alat untuk mencapai kesejahteraan sosial yang lebih merata.</w:t>
      </w:r>
      <w:r w:rsidR="001A048A" w:rsidRPr="0098279E">
        <w:rPr>
          <w:rFonts w:ascii="Times New Roman" w:hAnsi="Times New Roman" w:cs="Times New Roman"/>
          <w:sz w:val="20"/>
          <w:szCs w:val="20"/>
        </w:rPr>
        <w:t xml:space="preserve"> </w:t>
      </w:r>
      <w:r w:rsidR="00FE42B3" w:rsidRPr="0098279E">
        <w:rPr>
          <w:rFonts w:ascii="Times New Roman" w:hAnsi="Times New Roman" w:cs="Times New Roman"/>
          <w:sz w:val="20"/>
          <w:szCs w:val="20"/>
        </w:rPr>
        <w:t xml:space="preserve"> </w:t>
      </w:r>
      <w:r w:rsidR="00FE42B3" w:rsidRPr="0098279E">
        <w:rPr>
          <w:rFonts w:ascii="Times New Roman" w:hAnsi="Times New Roman" w:cs="Times New Roman"/>
          <w:sz w:val="20"/>
          <w:szCs w:val="20"/>
        </w:rPr>
        <w:fldChar w:fldCharType="begin" w:fldLock="1"/>
      </w:r>
      <w:r w:rsidR="003A33C7" w:rsidRPr="0098279E">
        <w:rPr>
          <w:rFonts w:ascii="Times New Roman" w:hAnsi="Times New Roman" w:cs="Times New Roman"/>
          <w:sz w:val="20"/>
          <w:szCs w:val="20"/>
        </w:rPr>
        <w:instrText>ADDIN CSL_CITATION {"citationItems":[{"id":"ITEM-1","itemData":{"id":"ITEM-1","issued":{"date-parts":[["0"]]},"title":"untuk Mewujudkan UMKM Naik Kelas","type":"article-journal"},"uris":["http://www.mendeley.com/documents/?uuid=c1f99bad-1e37-41fa-89c7-fa8c79d6e715"]}],"mendeley":{"formattedCitation":"(Anon n.d.-b)","plainTextFormattedCitation":"(Anon n.d.-b)","previouslyFormattedCitation":"(Anon n.d.)"},"properties":{"noteIndex":0},"schema":"https://github.com/citation-style-language/schema/raw/master/csl-citation.json"}</w:instrText>
      </w:r>
      <w:r w:rsidR="00FE42B3" w:rsidRPr="0098279E">
        <w:rPr>
          <w:rFonts w:ascii="Times New Roman" w:hAnsi="Times New Roman" w:cs="Times New Roman"/>
          <w:sz w:val="20"/>
          <w:szCs w:val="20"/>
        </w:rPr>
        <w:fldChar w:fldCharType="separate"/>
      </w:r>
      <w:r w:rsidR="003A33C7" w:rsidRPr="0098279E">
        <w:rPr>
          <w:rFonts w:ascii="Times New Roman" w:hAnsi="Times New Roman" w:cs="Times New Roman"/>
          <w:noProof/>
          <w:sz w:val="20"/>
          <w:szCs w:val="20"/>
        </w:rPr>
        <w:t>(Anon n.d.-b)</w:t>
      </w:r>
      <w:r w:rsidR="00FE42B3" w:rsidRPr="0098279E">
        <w:rPr>
          <w:rFonts w:ascii="Times New Roman" w:hAnsi="Times New Roman" w:cs="Times New Roman"/>
          <w:sz w:val="20"/>
          <w:szCs w:val="20"/>
        </w:rPr>
        <w:fldChar w:fldCharType="end"/>
      </w:r>
      <w:r w:rsidR="0098279E">
        <w:rPr>
          <w:rFonts w:ascii="Times New Roman" w:hAnsi="Times New Roman" w:cs="Times New Roman"/>
          <w:sz w:val="20"/>
          <w:szCs w:val="20"/>
        </w:rPr>
        <w:t>.</w:t>
      </w:r>
    </w:p>
    <w:p w14:paraId="391284E8" w14:textId="77777777" w:rsidR="00007546" w:rsidRPr="0098279E" w:rsidRDefault="00007546" w:rsidP="00007546">
      <w:pPr>
        <w:spacing w:after="0" w:line="240" w:lineRule="auto"/>
        <w:ind w:left="360" w:firstLine="360"/>
        <w:jc w:val="both"/>
        <w:rPr>
          <w:rFonts w:ascii="Times New Roman" w:hAnsi="Times New Roman" w:cs="Times New Roman"/>
          <w:sz w:val="20"/>
          <w:szCs w:val="20"/>
        </w:rPr>
      </w:pPr>
    </w:p>
    <w:p w14:paraId="6D4BF84A" w14:textId="2C239F55" w:rsidR="00C6734A" w:rsidRPr="002B0268" w:rsidRDefault="002B0268" w:rsidP="00007546">
      <w:pPr>
        <w:pStyle w:val="ListParagraph"/>
        <w:numPr>
          <w:ilvl w:val="1"/>
          <w:numId w:val="49"/>
        </w:numPr>
        <w:spacing w:after="0" w:line="240" w:lineRule="auto"/>
        <w:jc w:val="both"/>
        <w:rPr>
          <w:rFonts w:ascii="Times New Roman" w:hAnsi="Times New Roman" w:cs="Times New Roman"/>
          <w:i/>
          <w:iCs/>
          <w:sz w:val="24"/>
          <w:szCs w:val="24"/>
        </w:rPr>
      </w:pPr>
      <w:r>
        <w:rPr>
          <w:rFonts w:ascii="Times New Roman" w:hAnsi="Times New Roman" w:cs="Times New Roman"/>
          <w:i/>
          <w:iCs/>
          <w:sz w:val="24"/>
          <w:szCs w:val="24"/>
        </w:rPr>
        <w:t xml:space="preserve"> </w:t>
      </w:r>
      <w:r w:rsidR="00C6734A" w:rsidRPr="002B0268">
        <w:rPr>
          <w:rFonts w:ascii="Times New Roman" w:hAnsi="Times New Roman" w:cs="Times New Roman"/>
          <w:i/>
          <w:iCs/>
          <w:sz w:val="24"/>
          <w:szCs w:val="24"/>
        </w:rPr>
        <w:t>Hubungan dengan Lingkungan dan Etika Bisnis</w:t>
      </w:r>
    </w:p>
    <w:p w14:paraId="79B44289" w14:textId="688C5D0D" w:rsidR="0062050B" w:rsidRDefault="00C6734A" w:rsidP="00007546">
      <w:pPr>
        <w:spacing w:after="0" w:line="240" w:lineRule="auto"/>
        <w:ind w:firstLine="360"/>
        <w:jc w:val="both"/>
        <w:rPr>
          <w:rFonts w:ascii="Times New Roman" w:hAnsi="Times New Roman" w:cs="Times New Roman"/>
          <w:sz w:val="20"/>
          <w:szCs w:val="20"/>
        </w:rPr>
      </w:pPr>
      <w:r w:rsidRPr="0098279E">
        <w:rPr>
          <w:rFonts w:ascii="Times New Roman" w:hAnsi="Times New Roman" w:cs="Times New Roman"/>
          <w:sz w:val="20"/>
          <w:szCs w:val="20"/>
        </w:rPr>
        <w:t>Kebijakan moneter konvensional sering kali kurang memperhatikan dampak lingkungan dari keputusan investasi. Di banyak kasus, keuntungan jangka pendek dapat mengabaikan kerusakan lingkungan yang disebabkan oleh praktik bisnis yang tidak berkelanjutan. Sebaliknya, kebijakan moneter syariah menekankan pentingnya menjaga lingkungan dan mendorong investasi yang ramah lingkungan. Kebijakan ini tidak hanya mengharuskan kepatuhan pada aturan syariah, tetapi juga memperhatikan tanggung jawab sosial dan lingkungan. Dengan demikian, kebijakan moneter syariah berupaya menciptakan keseimbangan antara pertumbuhan ekonomi dan pelestarian lingkungan untuk generasi mendatang.</w:t>
      </w:r>
      <w:r w:rsidR="000501D3" w:rsidRPr="0098279E">
        <w:rPr>
          <w:rFonts w:ascii="Times New Roman" w:hAnsi="Times New Roman" w:cs="Times New Roman"/>
          <w:sz w:val="20"/>
          <w:szCs w:val="20"/>
        </w:rPr>
        <w:t xml:space="preserve"> </w:t>
      </w:r>
      <w:r w:rsidR="008B6BE4" w:rsidRPr="0098279E">
        <w:rPr>
          <w:rFonts w:ascii="Times New Roman" w:hAnsi="Times New Roman" w:cs="Times New Roman"/>
          <w:sz w:val="20"/>
          <w:szCs w:val="20"/>
        </w:rPr>
        <w:fldChar w:fldCharType="begin" w:fldLock="1"/>
      </w:r>
      <w:r w:rsidR="0068241D" w:rsidRPr="0098279E">
        <w:rPr>
          <w:rFonts w:ascii="Times New Roman" w:hAnsi="Times New Roman" w:cs="Times New Roman"/>
          <w:sz w:val="20"/>
          <w:szCs w:val="20"/>
        </w:rPr>
        <w:instrText>ADDIN CSL_CITATION {"citationItems":[{"id":"ITEM-1","itemData":{"id":"ITEM-1","issued":{"date-parts":[["2019"]]},"title":"Sistem penilaian kinerja finansial dan sosial bank syariah perspektif","type":"article-journal"},"uris":["http://www.mendeley.com/documents/?uuid=bf218330-8a7e-4131-9cae-5174ab72fcb3"]}],"mendeley":{"formattedCitation":"(Anon 2019)","plainTextFormattedCitation":"(Anon 2019)","previouslyFormattedCitation":"(Anon 2019)"},"properties":{"noteIndex":0},"schema":"https://github.com/citation-style-language/schema/raw/master/csl-citation.json"}</w:instrText>
      </w:r>
      <w:r w:rsidR="008B6BE4" w:rsidRPr="0098279E">
        <w:rPr>
          <w:rFonts w:ascii="Times New Roman" w:hAnsi="Times New Roman" w:cs="Times New Roman"/>
          <w:sz w:val="20"/>
          <w:szCs w:val="20"/>
        </w:rPr>
        <w:fldChar w:fldCharType="separate"/>
      </w:r>
      <w:r w:rsidR="008B6BE4" w:rsidRPr="0098279E">
        <w:rPr>
          <w:rFonts w:ascii="Times New Roman" w:hAnsi="Times New Roman" w:cs="Times New Roman"/>
          <w:noProof/>
          <w:sz w:val="20"/>
          <w:szCs w:val="20"/>
        </w:rPr>
        <w:t>(Anon 2019)</w:t>
      </w:r>
      <w:r w:rsidR="008B6BE4" w:rsidRPr="0098279E">
        <w:rPr>
          <w:rFonts w:ascii="Times New Roman" w:hAnsi="Times New Roman" w:cs="Times New Roman"/>
          <w:sz w:val="20"/>
          <w:szCs w:val="20"/>
        </w:rPr>
        <w:fldChar w:fldCharType="end"/>
      </w:r>
      <w:r w:rsidR="00007546">
        <w:rPr>
          <w:rFonts w:ascii="Times New Roman" w:hAnsi="Times New Roman" w:cs="Times New Roman"/>
          <w:sz w:val="20"/>
          <w:szCs w:val="20"/>
        </w:rPr>
        <w:t>.</w:t>
      </w:r>
    </w:p>
    <w:p w14:paraId="3D045756" w14:textId="77777777" w:rsidR="00007546" w:rsidRPr="0098279E" w:rsidRDefault="00007546" w:rsidP="00007546">
      <w:pPr>
        <w:spacing w:after="0" w:line="240" w:lineRule="auto"/>
        <w:ind w:firstLine="360"/>
        <w:jc w:val="both"/>
        <w:rPr>
          <w:rFonts w:ascii="Times New Roman" w:hAnsi="Times New Roman" w:cs="Times New Roman"/>
          <w:sz w:val="20"/>
          <w:szCs w:val="20"/>
        </w:rPr>
      </w:pPr>
    </w:p>
    <w:p w14:paraId="713EAF41" w14:textId="60ED7506" w:rsidR="000501D3" w:rsidRPr="0062050B" w:rsidRDefault="008B2C24" w:rsidP="00007546">
      <w:pPr>
        <w:pStyle w:val="ListParagraph"/>
        <w:numPr>
          <w:ilvl w:val="1"/>
          <w:numId w:val="49"/>
        </w:numPr>
        <w:spacing w:after="0" w:line="240" w:lineRule="auto"/>
        <w:jc w:val="both"/>
        <w:rPr>
          <w:rFonts w:ascii="Times New Roman" w:hAnsi="Times New Roman" w:cs="Times New Roman"/>
          <w:i/>
          <w:iCs/>
          <w:sz w:val="24"/>
          <w:szCs w:val="24"/>
        </w:rPr>
      </w:pPr>
      <w:r>
        <w:rPr>
          <w:rFonts w:ascii="Times New Roman" w:hAnsi="Times New Roman" w:cs="Times New Roman"/>
          <w:i/>
          <w:iCs/>
          <w:sz w:val="24"/>
          <w:szCs w:val="24"/>
        </w:rPr>
        <w:t xml:space="preserve"> </w:t>
      </w:r>
      <w:r w:rsidR="000501D3" w:rsidRPr="0062050B">
        <w:rPr>
          <w:rFonts w:ascii="Times New Roman" w:hAnsi="Times New Roman" w:cs="Times New Roman"/>
          <w:i/>
          <w:iCs/>
          <w:sz w:val="24"/>
          <w:szCs w:val="24"/>
        </w:rPr>
        <w:t>Ekonomi Hijau (Green Growth) dan PDB/PDRB Hijau</w:t>
      </w:r>
    </w:p>
    <w:p w14:paraId="16812A38" w14:textId="6B4BA58D" w:rsidR="00C6734A" w:rsidRDefault="000501D3" w:rsidP="00007546">
      <w:pPr>
        <w:spacing w:after="0" w:line="240" w:lineRule="auto"/>
        <w:ind w:firstLine="360"/>
        <w:jc w:val="both"/>
        <w:rPr>
          <w:rFonts w:ascii="Times New Roman" w:hAnsi="Times New Roman" w:cs="Times New Roman"/>
          <w:sz w:val="20"/>
          <w:szCs w:val="20"/>
        </w:rPr>
      </w:pPr>
      <w:r w:rsidRPr="0098279E">
        <w:rPr>
          <w:rFonts w:ascii="Times New Roman" w:hAnsi="Times New Roman" w:cs="Times New Roman"/>
          <w:sz w:val="20"/>
          <w:szCs w:val="20"/>
        </w:rPr>
        <w:t xml:space="preserve">Dengan semakin tingginya semangat untuk mempertahankan kualitas lingkungan yang baik, maka bermunculanlah berbagai istilah yang mengandung makna telah memasukkan dimensi lingkungan ke dalam usaha atau kegiatan tertentu seperti istilah green building, green financing, green banking, green growth dan sebagainya. Ini semua menunjukkan bahwa pertimbangan lingkungan hidup sudah dimasukkan dalam berbagai tindakan dan kebijakan. Pertumbuhan ekonomi hijau (green growth) juga diartikan sebagai pertumbuhan ekonomi yang ramah lingkungan atau pertumbuhan ekonomi yang rendah karbon (CO2), karena CO2 termasuk salah satu dari gas rumah kaca yang menyelimuti bumi yang menyebabkan meningkatnya suhu bumi sehingga terjadi pemanasan global. Kalau kita semua menghendaki pertumbuhan ekonomi hijau atau dengan kata lain pertumbuhan ekonomi berkelanjutan, maka alat ukur kinerja pembangunan yang tepat bukan PDB dan PDRB Konvensional atau Coklat, tetapi PDB dan PDRB Hijau seperti yang diamanatkan oleh Undang-Undang Nomor 32 Tahun 2009 tentang Perlindungan dan Pengelolaan Lingkungan Hidup; yaitu bahwa PDB dan PDRB yang sudah memperhitungkan dimensi lingkungan yang berupa deplesi sumberdaya alam dan degradasi lingkungan atau yang disebut PDB dan PDRB Hijau harus dikembangkan oleh setiap Pemerintahan baik itu Pemerintah Daerah maupun Pemerintah Pusat. </w:t>
      </w:r>
      <w:r w:rsidRPr="0098279E">
        <w:rPr>
          <w:rFonts w:ascii="Times New Roman" w:hAnsi="Times New Roman" w:cs="Times New Roman"/>
          <w:sz w:val="20"/>
          <w:szCs w:val="20"/>
        </w:rPr>
        <w:fldChar w:fldCharType="begin" w:fldLock="1"/>
      </w:r>
      <w:r w:rsidRPr="0098279E">
        <w:rPr>
          <w:rFonts w:ascii="Times New Roman" w:hAnsi="Times New Roman" w:cs="Times New Roman"/>
          <w:sz w:val="20"/>
          <w:szCs w:val="20"/>
        </w:rPr>
        <w:instrText>ADDIN CSL_CITATION {"citationItems":[{"id":"ITEM-1","itemData":{"abstract":"Tujuan dari penelitian ini adalah untuk mengetahui konsep pemangunan berkelanjutan beserta prinsipnya. Untuk menyusun perencanaan pembangunan yang berbasis konsep pembangunan berkelanjutan, perlu dipahami unsur apa saja yang diperlukan serta faktor dan piranti apa saja yang diperlukan untuk membangun secara berkelanjutan. Adapun pilar-pilar pembangunan berkelanjutan berupa berkelanjutan ekonomi, berkelanjutan sosial dan berkelanjutan lingkungan, yang ketiganya harus berkembang secara seimbang; kalau tidak pembangunan akan terjebak pada model pembangunan konvensional yang menekankan pertumbuhan ekonomi saja dan meninggalkan perkembangan sosial dan lingkungan. Disamping itu, untuk keberhasilan pembangunan berkelanjutan, disyaratkan pula perlunya modal sosial yang mampu memelihara hubungan kerja sama yang baik antar berbagai lembaga pemerintahan baik secara vertikal maupun horisontal, serta diperlukan pula sinergi antara pemerintah, pihak swasta dan masyarakat dengan pendekatan multi pihak dari ketiga kelompok tersebut dalam penyusunan rencana dan kebijakan pembangunan yang berwawasan lingkungan.","author":[{"dropping-particle":"","family":"Suparmoko","given":"Muhammad","non-dropping-particle":"","parse-names":false,"suffix":""}],"container-title":"Jurnal Ekonomika dan Manajemen","id":"ITEM-1","issue":"1","issued":{"date-parts":[["2020"]]},"page":"39-50","title":"Pembangunan Nasional Dan Regional","type":"article-journal","volume":"9"},"uris":["http://www.mendeley.com/documents/?uuid=5186e721-ceca-41ba-b121-a5d1301634e2"]}],"mendeley":{"formattedCitation":"(Suparmoko 2020)","plainTextFormattedCitation":"(Suparmoko 2020)","previouslyFormattedCitation":"(Suparmoko 2020)"},"properties":{"noteIndex":0},"schema":"https://github.com/citation-style-language/schema/raw/master/csl-citation.json"}</w:instrText>
      </w:r>
      <w:r w:rsidRPr="0098279E">
        <w:rPr>
          <w:rFonts w:ascii="Times New Roman" w:hAnsi="Times New Roman" w:cs="Times New Roman"/>
          <w:sz w:val="20"/>
          <w:szCs w:val="20"/>
        </w:rPr>
        <w:fldChar w:fldCharType="separate"/>
      </w:r>
      <w:r w:rsidRPr="0098279E">
        <w:rPr>
          <w:rFonts w:ascii="Times New Roman" w:hAnsi="Times New Roman" w:cs="Times New Roman"/>
          <w:noProof/>
          <w:sz w:val="20"/>
          <w:szCs w:val="20"/>
        </w:rPr>
        <w:t>(Suparmoko 2020)</w:t>
      </w:r>
      <w:r w:rsidRPr="0098279E">
        <w:rPr>
          <w:rFonts w:ascii="Times New Roman" w:hAnsi="Times New Roman" w:cs="Times New Roman"/>
          <w:sz w:val="20"/>
          <w:szCs w:val="20"/>
        </w:rPr>
        <w:fldChar w:fldCharType="end"/>
      </w:r>
      <w:r w:rsidR="0098279E">
        <w:rPr>
          <w:rFonts w:ascii="Times New Roman" w:hAnsi="Times New Roman" w:cs="Times New Roman"/>
          <w:sz w:val="20"/>
          <w:szCs w:val="20"/>
        </w:rPr>
        <w:t>.</w:t>
      </w:r>
    </w:p>
    <w:p w14:paraId="13CA25CF" w14:textId="77777777" w:rsidR="00007546" w:rsidRPr="0098279E" w:rsidRDefault="00007546" w:rsidP="00007546">
      <w:pPr>
        <w:spacing w:after="0" w:line="240" w:lineRule="auto"/>
        <w:ind w:firstLine="360"/>
        <w:jc w:val="both"/>
        <w:rPr>
          <w:rFonts w:ascii="Times New Roman" w:hAnsi="Times New Roman" w:cs="Times New Roman"/>
          <w:sz w:val="20"/>
          <w:szCs w:val="20"/>
        </w:rPr>
      </w:pPr>
    </w:p>
    <w:p w14:paraId="743D5938" w14:textId="6F320D95" w:rsidR="00C6734A" w:rsidRPr="0062050B" w:rsidRDefault="008B2C24" w:rsidP="00007546">
      <w:pPr>
        <w:pStyle w:val="ListParagraph"/>
        <w:numPr>
          <w:ilvl w:val="1"/>
          <w:numId w:val="49"/>
        </w:numPr>
        <w:spacing w:after="0" w:line="240" w:lineRule="auto"/>
        <w:jc w:val="both"/>
        <w:rPr>
          <w:rFonts w:ascii="Times New Roman" w:hAnsi="Times New Roman" w:cs="Times New Roman"/>
          <w:i/>
          <w:iCs/>
          <w:sz w:val="24"/>
          <w:szCs w:val="24"/>
        </w:rPr>
      </w:pPr>
      <w:r>
        <w:rPr>
          <w:rFonts w:ascii="Times New Roman" w:hAnsi="Times New Roman" w:cs="Times New Roman"/>
          <w:i/>
          <w:iCs/>
          <w:sz w:val="24"/>
          <w:szCs w:val="24"/>
        </w:rPr>
        <w:t xml:space="preserve"> </w:t>
      </w:r>
      <w:r w:rsidR="00C6734A" w:rsidRPr="0062050B">
        <w:rPr>
          <w:rFonts w:ascii="Times New Roman" w:hAnsi="Times New Roman" w:cs="Times New Roman"/>
          <w:i/>
          <w:iCs/>
          <w:sz w:val="24"/>
          <w:szCs w:val="24"/>
        </w:rPr>
        <w:t>Integrasi Kebijakan Moneter dan Dampaknya Terhadap Pembangunan Berkelanjutan.</w:t>
      </w:r>
    </w:p>
    <w:p w14:paraId="355992C1" w14:textId="77777777" w:rsidR="008B2C24" w:rsidRDefault="00C6734A" w:rsidP="00007546">
      <w:pPr>
        <w:spacing w:after="0" w:line="240" w:lineRule="auto"/>
        <w:ind w:firstLine="360"/>
        <w:jc w:val="both"/>
        <w:rPr>
          <w:rFonts w:ascii="Times New Roman" w:hAnsi="Times New Roman" w:cs="Times New Roman"/>
          <w:sz w:val="20"/>
          <w:szCs w:val="20"/>
        </w:rPr>
      </w:pPr>
      <w:r w:rsidRPr="0098279E">
        <w:rPr>
          <w:rFonts w:ascii="Times New Roman" w:hAnsi="Times New Roman" w:cs="Times New Roman"/>
          <w:sz w:val="20"/>
          <w:szCs w:val="20"/>
        </w:rPr>
        <w:t>Integrasi kebijakan moneter adalah upaya menyelaraskan kebijakan moneter dengan agenda pembangunan berkelanjutan guna mencapai pertumbuhan ekonomi yang inklusif, adil, dan berkelanjutan. Dalam proses ini, kebijakan moneter tidak hanya difokuskan pada menjaga stabilitas harga dan mengendalikan inflasi, tetapi juga mempertimbangkan dampaknya terhadap dimensi sosial, lingkungan, dan ekonomi yang lebih luas(Aqidah dkk., 2022). Dampak utama dari integrasi kebijakan moneter terletak pada pembangunan ekonomi yang berkelanjutan. Melalui kebijakan moneter yang cerdas,pemerintah dapat memberikan insentif bagi investasi yang mendukung pembangunanberkelanjutan, seperti investasi dalam energi terbarukan, infrastruktur yang ramahlingkungan, dan sektor-sektor ekonomi lainnya yang mempromosikan keberlanjutan.Dengan penyesuaian instrumen kebijakan moneter, seperti suku bunga, untukmerangsang investasi dalam sektor-sektor ini, pemerintah dapat mendorong pertumbuhanekonomi yang tidak hanya cepat tetapi juga berkelanjutan dari perspektif lingkungan(Jumario &amp; Marianus, 2023).</w:t>
      </w:r>
    </w:p>
    <w:p w14:paraId="17165FBF" w14:textId="13DA3615" w:rsidR="006C175D" w:rsidRPr="0098279E" w:rsidRDefault="00C6734A" w:rsidP="008B2C24">
      <w:pPr>
        <w:spacing w:after="0" w:line="240" w:lineRule="auto"/>
        <w:ind w:firstLine="360"/>
        <w:jc w:val="both"/>
        <w:rPr>
          <w:rFonts w:ascii="Times New Roman" w:hAnsi="Times New Roman" w:cs="Times New Roman"/>
          <w:sz w:val="20"/>
          <w:szCs w:val="20"/>
        </w:rPr>
      </w:pPr>
      <w:r w:rsidRPr="0098279E">
        <w:rPr>
          <w:rFonts w:ascii="Times New Roman" w:hAnsi="Times New Roman" w:cs="Times New Roman"/>
          <w:sz w:val="20"/>
          <w:szCs w:val="20"/>
        </w:rPr>
        <w:t>Integrasi kebijakan moneter juga memiliki dampak yang signifikan terhadapdistribusi pendapatan dan pengurangan kemiskinan. Dengan memperhitungkan dampakdistribusi dari kebijakan moneter, seperti akses terhadap kredit dan kebijakan suku bunga,pemerintah dapat memastikan bahwa pertumbuhan ekonomi yang terjadi juga bersifatinklusif dan merata. Hal ini dapat membantu mengurangi kesenjangan pendapatan danmeningkatkan kesejahteraan sosial secara keseluruhan(Dayu dkk., t.t.). Di dalam konteksekonomi syariah, integrasi kebijakan moneter juga memastikan bahwa prinsip-prinsipkeadilan ekonomi syariah dipertimbangkan dalam distribusi pendapatan. Untegrasikebijakan moneter berdampak pada keberlanjutan lingkungan. Dengan menyesuaikankebijakan moneter untuk memberikan insentif bagi investasi yang ramah lingkungan,pemerintah dapat mempercepat transisi menuju ekonomi yang lebih hijau danberkelanjutan. Ini termasuk langkah-langkah seperti mengurangi subsidi untuk energifosil, memberikan insentif pajak untuk teknologi hijau, dan langkah lain yang</w:t>
      </w:r>
      <w:r w:rsidR="000501D3" w:rsidRPr="0098279E">
        <w:rPr>
          <w:rFonts w:ascii="Times New Roman" w:hAnsi="Times New Roman" w:cs="Times New Roman"/>
          <w:sz w:val="20"/>
          <w:szCs w:val="20"/>
        </w:rPr>
        <w:t xml:space="preserve"> </w:t>
      </w:r>
      <w:r w:rsidRPr="0098279E">
        <w:rPr>
          <w:rFonts w:ascii="Times New Roman" w:hAnsi="Times New Roman" w:cs="Times New Roman"/>
          <w:sz w:val="20"/>
          <w:szCs w:val="20"/>
        </w:rPr>
        <w:t>merangsang inovasi dan investasi dalam perlindungan lingkungan.</w:t>
      </w:r>
      <w:r w:rsidR="00804364" w:rsidRPr="0098279E">
        <w:rPr>
          <w:rFonts w:ascii="Times New Roman" w:hAnsi="Times New Roman" w:cs="Times New Roman"/>
          <w:sz w:val="20"/>
          <w:szCs w:val="20"/>
        </w:rPr>
        <w:t xml:space="preserve"> </w:t>
      </w:r>
      <w:r w:rsidR="00804364" w:rsidRPr="0098279E">
        <w:rPr>
          <w:rFonts w:ascii="Times New Roman" w:hAnsi="Times New Roman" w:cs="Times New Roman"/>
          <w:sz w:val="20"/>
          <w:szCs w:val="20"/>
        </w:rPr>
        <w:fldChar w:fldCharType="begin" w:fldLock="1"/>
      </w:r>
      <w:r w:rsidR="00124C18" w:rsidRPr="0098279E">
        <w:rPr>
          <w:rFonts w:ascii="Times New Roman" w:hAnsi="Times New Roman" w:cs="Times New Roman"/>
          <w:sz w:val="20"/>
          <w:szCs w:val="20"/>
        </w:rPr>
        <w:instrText>ADDIN CSL_CITATION {"citationItems":[{"id":"ITEM-1","itemData":{"author":[{"dropping-particle":"","family":"Safitri","given":"Riska Aulia","non-dropping-particle":"","parse-names":false,"suffix":""},{"dropping-particle":"","family":"Faqih","given":"Abdulloh","non-dropping-particle":"","parse-names":false,"suffix":""},{"dropping-particle":"","family":"Madura","given":"Universitas Trunojoyo","non-dropping-particle":"","parse-names":false,"suffix":""}],"id":"ITEM-1","issue":"6","issued":{"date-parts":[["2024"]]},"title":"Analisis peran kebijakan moneter dalam upaya pembangunan ekonomi berkelanjutan dalam tinjauan ekonomi syariah","type":"article-journal","volume":"2"},"uris":["http://www.mendeley.com/documents/?uuid=3cfcb244-0abc-43b3-afd6-737f7dd6f31c"]}],"mendeley":{"formattedCitation":"(Safitri et al. 2024)","plainTextFormattedCitation":"(Safitri et al. 2024)","previouslyFormattedCitation":"(Safitri et al. 2024)"},"properties":{"noteIndex":0},"schema":"https://github.com/citation-style-language/schema/raw/master/csl-citation.json"}</w:instrText>
      </w:r>
      <w:r w:rsidR="00804364" w:rsidRPr="0098279E">
        <w:rPr>
          <w:rFonts w:ascii="Times New Roman" w:hAnsi="Times New Roman" w:cs="Times New Roman"/>
          <w:sz w:val="20"/>
          <w:szCs w:val="20"/>
        </w:rPr>
        <w:fldChar w:fldCharType="separate"/>
      </w:r>
      <w:r w:rsidR="00804364" w:rsidRPr="0098279E">
        <w:rPr>
          <w:rFonts w:ascii="Times New Roman" w:hAnsi="Times New Roman" w:cs="Times New Roman"/>
          <w:noProof/>
          <w:sz w:val="20"/>
          <w:szCs w:val="20"/>
        </w:rPr>
        <w:t>(Safitri et al. 2024)</w:t>
      </w:r>
      <w:r w:rsidR="00804364" w:rsidRPr="0098279E">
        <w:rPr>
          <w:rFonts w:ascii="Times New Roman" w:hAnsi="Times New Roman" w:cs="Times New Roman"/>
          <w:sz w:val="20"/>
          <w:szCs w:val="20"/>
        </w:rPr>
        <w:fldChar w:fldCharType="end"/>
      </w:r>
    </w:p>
    <w:p w14:paraId="4F454AE5" w14:textId="72B7722A" w:rsidR="00C6734A" w:rsidRPr="006C175D" w:rsidRDefault="00C6734A" w:rsidP="008B2C24">
      <w:pPr>
        <w:pStyle w:val="ListParagraph"/>
        <w:numPr>
          <w:ilvl w:val="0"/>
          <w:numId w:val="32"/>
        </w:numPr>
        <w:spacing w:before="240" w:line="240" w:lineRule="auto"/>
        <w:jc w:val="both"/>
        <w:rPr>
          <w:rFonts w:ascii="Times New Roman" w:hAnsi="Times New Roman" w:cs="Times New Roman"/>
          <w:b/>
          <w:bCs/>
          <w:sz w:val="24"/>
          <w:szCs w:val="24"/>
        </w:rPr>
      </w:pPr>
      <w:r w:rsidRPr="006C175D">
        <w:rPr>
          <w:rFonts w:ascii="Times New Roman" w:hAnsi="Times New Roman" w:cs="Times New Roman"/>
          <w:b/>
          <w:bCs/>
          <w:sz w:val="24"/>
          <w:szCs w:val="24"/>
        </w:rPr>
        <w:t>M</w:t>
      </w:r>
      <w:r w:rsidR="009B20D2">
        <w:rPr>
          <w:rFonts w:ascii="Times New Roman" w:hAnsi="Times New Roman" w:cs="Times New Roman"/>
          <w:b/>
          <w:bCs/>
          <w:sz w:val="24"/>
          <w:szCs w:val="24"/>
        </w:rPr>
        <w:t>etodologi.</w:t>
      </w:r>
    </w:p>
    <w:p w14:paraId="18874777" w14:textId="0F871B2C" w:rsidR="00C6734A" w:rsidRPr="0098279E" w:rsidRDefault="00C6734A" w:rsidP="008B2C24">
      <w:pPr>
        <w:spacing w:line="240" w:lineRule="auto"/>
        <w:ind w:firstLine="360"/>
        <w:jc w:val="both"/>
        <w:rPr>
          <w:rFonts w:ascii="Times New Roman" w:hAnsi="Times New Roman" w:cs="Times New Roman"/>
          <w:sz w:val="20"/>
          <w:szCs w:val="20"/>
        </w:rPr>
      </w:pPr>
      <w:r w:rsidRPr="0098279E">
        <w:rPr>
          <w:rFonts w:ascii="Times New Roman" w:hAnsi="Times New Roman" w:cs="Times New Roman"/>
          <w:sz w:val="20"/>
          <w:szCs w:val="20"/>
        </w:rPr>
        <w:t xml:space="preserve">Penelitian ini menerapkan pendekatan kualitatif deskriptif untuk menggali secara mendalam peran kebijakan moneter islam dan pembangunan ekonomi yang berkelanjutan, terutama dalam konteks ekonomi syariah. Dengan pendekatan ini, peneliti dapat melakukan analisis yang komprehensif terhadap berbagai aspek yang relevan dengan topik tersebut. Sumber data utama penelitian ini berasal dari analisis literatur, termasuk referensi dari jurnal-jurnal, buku-buku, dan studi kasus yang relevan dengan topik yang dibahas. Data-data ini diperoleh melalui tinjauan </w:t>
      </w:r>
      <w:r w:rsidRPr="0098279E">
        <w:rPr>
          <w:rFonts w:ascii="Times New Roman" w:hAnsi="Times New Roman" w:cs="Times New Roman"/>
          <w:sz w:val="20"/>
          <w:szCs w:val="20"/>
        </w:rPr>
        <w:lastRenderedPageBreak/>
        <w:t xml:space="preserve">literatur sebelumnya dan juga pandangan beberapa ahli di bidang kebijakan moneter dan ekonomi syariah. Setelah data terkumpul, langkah selanjutnya adalah melakukan verifikasi untuk memastikan keakuratan dan validitasnya. Verifikasi dilakukan dengan merujuk pada akreditasi jurnal atau indeks jurnal yang diakui untuk memastikan kredibilitas data yang digunakan dalam penelitian. Dengan menggunakan metode ini, penelitian bertujuan untuk memperoleh pemahaman yang menyeluruh mengenai peran kebijakan moneter islam dan pembangunan ekonomi berkelanjutan, terutama dalam perspektif ekonomi syariah. </w:t>
      </w:r>
    </w:p>
    <w:p w14:paraId="67B89F88" w14:textId="48335696" w:rsidR="00BE30BA" w:rsidRPr="006C175D" w:rsidRDefault="00BE30BA" w:rsidP="00FA3DD9">
      <w:pPr>
        <w:pStyle w:val="ListParagraph"/>
        <w:numPr>
          <w:ilvl w:val="0"/>
          <w:numId w:val="32"/>
        </w:numPr>
        <w:spacing w:line="240" w:lineRule="auto"/>
        <w:jc w:val="both"/>
        <w:rPr>
          <w:rFonts w:ascii="Times New Roman" w:hAnsi="Times New Roman" w:cs="Times New Roman"/>
          <w:b/>
          <w:bCs/>
          <w:sz w:val="24"/>
          <w:szCs w:val="24"/>
        </w:rPr>
      </w:pPr>
      <w:r w:rsidRPr="006C175D">
        <w:rPr>
          <w:rFonts w:ascii="Times New Roman" w:hAnsi="Times New Roman" w:cs="Times New Roman"/>
          <w:b/>
          <w:bCs/>
          <w:sz w:val="24"/>
          <w:szCs w:val="24"/>
        </w:rPr>
        <w:t>H</w:t>
      </w:r>
      <w:r w:rsidR="009B20D2">
        <w:rPr>
          <w:rFonts w:ascii="Times New Roman" w:hAnsi="Times New Roman" w:cs="Times New Roman"/>
          <w:b/>
          <w:bCs/>
          <w:sz w:val="24"/>
          <w:szCs w:val="24"/>
        </w:rPr>
        <w:t>asil dan Pembahasan</w:t>
      </w:r>
    </w:p>
    <w:p w14:paraId="2CCC799E" w14:textId="4D2A2D0B" w:rsidR="0068241D" w:rsidRPr="0098279E" w:rsidRDefault="00BE30BA" w:rsidP="008B2C24">
      <w:pPr>
        <w:spacing w:after="0" w:line="240" w:lineRule="auto"/>
        <w:ind w:firstLine="360"/>
        <w:jc w:val="both"/>
        <w:rPr>
          <w:rFonts w:ascii="Times New Roman" w:hAnsi="Times New Roman" w:cs="Times New Roman"/>
          <w:sz w:val="20"/>
          <w:szCs w:val="20"/>
        </w:rPr>
      </w:pPr>
      <w:r w:rsidRPr="0098279E">
        <w:rPr>
          <w:rFonts w:ascii="Times New Roman" w:hAnsi="Times New Roman" w:cs="Times New Roman"/>
          <w:sz w:val="20"/>
          <w:szCs w:val="20"/>
        </w:rPr>
        <w:t>Sebelum membahas sistem moneter Islam, perlu dibahas sekilas tentang pandangan Islam terhadap uang, karena uang dan moneter memiliki hubungan yang sangat erat. Al-Ghazali memandang uang sebagai standar pengukuran (satuan) agar tidak terjadi kejahatan penipuan dan kecurangan. Uang menjadi solusi dari berbagai permasalahan dari sistem barter. Dinar dan dirham merupakan kekayaan paling utama daripada yang lainnya. Ia juga mempunyai pandangan bahwa uang adalah bebas nilai atau netral</w:t>
      </w:r>
      <w:r w:rsidR="0068241D" w:rsidRPr="0098279E">
        <w:rPr>
          <w:rFonts w:ascii="Times New Roman" w:hAnsi="Times New Roman" w:cs="Times New Roman"/>
          <w:sz w:val="20"/>
          <w:szCs w:val="20"/>
        </w:rPr>
        <w:t xml:space="preserve"> </w:t>
      </w:r>
      <w:r w:rsidRPr="0098279E">
        <w:rPr>
          <w:rFonts w:ascii="Times New Roman" w:hAnsi="Times New Roman" w:cs="Times New Roman"/>
          <w:sz w:val="20"/>
          <w:szCs w:val="20"/>
        </w:rPr>
        <w:t>(Gustiani et al., 2010).</w:t>
      </w:r>
    </w:p>
    <w:p w14:paraId="37A9ECE4" w14:textId="660ED277" w:rsidR="00471E53" w:rsidRPr="0098279E" w:rsidRDefault="0068241D" w:rsidP="008B2C24">
      <w:pPr>
        <w:spacing w:after="0" w:line="240" w:lineRule="auto"/>
        <w:ind w:firstLine="360"/>
        <w:jc w:val="both"/>
        <w:rPr>
          <w:rFonts w:ascii="Times New Roman" w:hAnsi="Times New Roman" w:cs="Times New Roman"/>
          <w:sz w:val="20"/>
          <w:szCs w:val="20"/>
        </w:rPr>
      </w:pPr>
      <w:r w:rsidRPr="0098279E">
        <w:rPr>
          <w:rFonts w:ascii="Times New Roman" w:hAnsi="Times New Roman" w:cs="Times New Roman"/>
          <w:sz w:val="20"/>
          <w:szCs w:val="20"/>
        </w:rPr>
        <w:t xml:space="preserve">Ibnu Taimiyah berpandangan bahwa uang merupakan standar nilai dan alat tukar, bukan suatu komuditi yang diperdagangkan. Uang harus proporsional dalam transaksi dimana harga ditetapkan. Sedangkan Ibnu Khaldun berpendapat bahwa uang merupakan standar pengukuran dan penyimpan nilai. Menurutnya uang yang relatif stabil dan tidak mudah fluktuatif adalah uang emas dan perak. </w:t>
      </w:r>
      <w:r w:rsidRPr="0098279E">
        <w:rPr>
          <w:rFonts w:ascii="Times New Roman" w:hAnsi="Times New Roman" w:cs="Times New Roman"/>
          <w:sz w:val="20"/>
          <w:szCs w:val="20"/>
        </w:rPr>
        <w:fldChar w:fldCharType="begin" w:fldLock="1"/>
      </w:r>
      <w:r w:rsidRPr="0098279E">
        <w:rPr>
          <w:rFonts w:ascii="Times New Roman" w:hAnsi="Times New Roman" w:cs="Times New Roman"/>
          <w:sz w:val="20"/>
          <w:szCs w:val="20"/>
        </w:rPr>
        <w:instrText>ADDIN CSL_CITATION {"citationItems":[{"id":"ITEM-1","itemData":{"ISBN":"9780333227794","abstract":"Predicting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Irawan","given":"Heri","non-dropping-particle":"","parse-names":false,"suffix":""},{"dropping-particle":"","family":"Permata","given":"Srianti","non-dropping-particle":"","parse-names":false,"suffix":""},{"dropping-particle":"","family":"Ramdani","given":"Eggy Armand","non-dropping-particle":"","parse-names":false,"suffix":""},{"dropping-particle":"","family":"Jastacia","given":"Bella","non-dropping-particle":"","parse-names":false,"suffix":""},{"dropping-particle":"","family":"Utama","given":"Satria","non-dropping-particle":"","parse-names":false,"suffix":""},{"dropping-particle":"","family":"Adbuh","given":"Arridho","non-dropping-particle":"","parse-names":false,"suffix":""},{"dropping-particle":"","family":"Aslamah","given":"Afidah Nur","non-dropping-particle":"","parse-names":false,"suffix":""},{"dropping-particle":"","family":"Zaroni","given":"Akhmad Nur","non-dropping-particle":"","parse-names":false,"suffix":""},{"dropping-particle":"","family":"Shofawati","given":"Atina","non-dropping-particle":"","parse-names":false,"suffix":""},{"dropping-particle":"","family":"Mustika","given":"Mega","non-dropping-particle":"","parse-names":false,"suffix":""},{"dropping-particle":"","family":"Kurlillah","given":"Anis","non-dropping-particle":"","parse-names":false,"suffix":""}],"container-title":"Az-Zahra Media Society","id":"ITEM-1","issue":"1","issued":{"date-parts":[["2023"]]},"page":"10-27","title":"Ekonomi Moneter Islam","type":"article-journal","volume":"3"},"uris":["http://www.mendeley.com/documents/?uuid=8e184169-15d8-4a1e-924c-c034731a259b"]}],"mendeley":{"formattedCitation":"(Irawan et al. 2023)","plainTextFormattedCitation":"(Irawan et al. 2023)","previouslyFormattedCitation":"(Irawan et al. 2023)"},"properties":{"noteIndex":0},"schema":"https://github.com/citation-style-language/schema/raw/master/csl-citation.json"}</w:instrText>
      </w:r>
      <w:r w:rsidRPr="0098279E">
        <w:rPr>
          <w:rFonts w:ascii="Times New Roman" w:hAnsi="Times New Roman" w:cs="Times New Roman"/>
          <w:sz w:val="20"/>
          <w:szCs w:val="20"/>
        </w:rPr>
        <w:fldChar w:fldCharType="separate"/>
      </w:r>
      <w:r w:rsidRPr="0098279E">
        <w:rPr>
          <w:rFonts w:ascii="Times New Roman" w:hAnsi="Times New Roman" w:cs="Times New Roman"/>
          <w:noProof/>
          <w:sz w:val="20"/>
          <w:szCs w:val="20"/>
        </w:rPr>
        <w:t>(Irawan et al. 2023)</w:t>
      </w:r>
      <w:r w:rsidRPr="0098279E">
        <w:rPr>
          <w:rFonts w:ascii="Times New Roman" w:hAnsi="Times New Roman" w:cs="Times New Roman"/>
          <w:sz w:val="20"/>
          <w:szCs w:val="20"/>
        </w:rPr>
        <w:fldChar w:fldCharType="end"/>
      </w:r>
      <w:r w:rsidR="006C175D" w:rsidRPr="0098279E">
        <w:rPr>
          <w:rFonts w:ascii="Times New Roman" w:hAnsi="Times New Roman" w:cs="Times New Roman"/>
          <w:sz w:val="20"/>
          <w:szCs w:val="20"/>
        </w:rPr>
        <w:t xml:space="preserve"> </w:t>
      </w:r>
      <w:r w:rsidRPr="0098279E">
        <w:rPr>
          <w:rFonts w:ascii="Times New Roman" w:hAnsi="Times New Roman" w:cs="Times New Roman"/>
          <w:sz w:val="20"/>
          <w:szCs w:val="20"/>
        </w:rPr>
        <w:t>Sistem moneter Islam adalah sekumpulan aturan dan pedoman yang digunakan untuk mengatur keuangan dalam suatu negara (Rivai, 2009). Dalam setiap sistem keuangan tergantung pada satuan dasar keuangan yang digunakan apakah emas, perak, emas dan perak, atau fiat money.</w:t>
      </w:r>
    </w:p>
    <w:p w14:paraId="049F8EB7" w14:textId="74222CCF" w:rsidR="008B2C24" w:rsidRDefault="00471E53" w:rsidP="008B2C24">
      <w:pPr>
        <w:spacing w:after="0" w:line="240" w:lineRule="auto"/>
        <w:ind w:firstLine="360"/>
        <w:jc w:val="both"/>
        <w:rPr>
          <w:rFonts w:ascii="Times New Roman" w:hAnsi="Times New Roman" w:cs="Times New Roman"/>
          <w:sz w:val="20"/>
          <w:szCs w:val="20"/>
        </w:rPr>
      </w:pPr>
      <w:r w:rsidRPr="0098279E">
        <w:rPr>
          <w:rFonts w:ascii="Times New Roman" w:hAnsi="Times New Roman" w:cs="Times New Roman"/>
          <w:sz w:val="20"/>
          <w:szCs w:val="20"/>
        </w:rPr>
        <w:t xml:space="preserve">Ada tiga perbedaan yang asasi dalan sistem moneter Islam dan konvensional (Ascarya et al., 2008). Pertama, sistem moneter konvensional menggunakan instrument bunga, sedangkan system moneter Islam menggunakan profit and loss sharing (PLS). Dalam PLS berlaku system win win solution, semua pihak dijamin keadilannya, tidak ada pihak-pihak yang menanggung kerugian secara tidak adil. Antara pemilik modal dan pengusaha membagi keuntungan dan menanggung kerugian secara Bersama-sama. </w:t>
      </w:r>
      <w:r w:rsidRPr="0098279E">
        <w:rPr>
          <w:rFonts w:ascii="Times New Roman" w:hAnsi="Times New Roman" w:cs="Times New Roman"/>
          <w:sz w:val="20"/>
          <w:szCs w:val="20"/>
        </w:rPr>
        <w:fldChar w:fldCharType="begin" w:fldLock="1"/>
      </w:r>
      <w:r w:rsidR="008A0849" w:rsidRPr="0098279E">
        <w:rPr>
          <w:rFonts w:ascii="Times New Roman" w:hAnsi="Times New Roman" w:cs="Times New Roman"/>
          <w:sz w:val="20"/>
          <w:szCs w:val="20"/>
        </w:rPr>
        <w:instrText>ADDIN CSL_CITATION {"citationItems":[{"id":"ITEM-1","itemData":{"ISBN":"9780333227794","abstract":"Predicting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Irawan","given":"Heri","non-dropping-particle":"","parse-names":false,"suffix":""},{"dropping-particle":"","family":"Permata","given":"Srianti","non-dropping-particle":"","parse-names":false,"suffix":""},{"dropping-particle":"","family":"Ramdani","given":"Eggy Armand","non-dropping-particle":"","parse-names":false,"suffix":""},{"dropping-particle":"","family":"Jastacia","given":"Bella","non-dropping-particle":"","parse-names":false,"suffix":""},{"dropping-particle":"","family":"Utama","given":"Satria","non-dropping-particle":"","parse-names":false,"suffix":""},{"dropping-particle":"","family":"Adbuh","given":"Arridho","non-dropping-particle":"","parse-names":false,"suffix":""},{"dropping-particle":"","family":"Aslamah","given":"Afidah Nur","non-dropping-particle":"","parse-names":false,"suffix":""},{"dropping-particle":"","family":"Zaroni","given":"Akhmad Nur","non-dropping-particle":"","parse-names":false,"suffix":""},{"dropping-particle":"","family":"Shofawati","given":"Atina","non-dropping-particle":"","parse-names":false,"suffix":""},{"dropping-particle":"","family":"Mustika","given":"Mega","non-dropping-particle":"","parse-names":false,"suffix":""},{"dropping-particle":"","family":"Kurlillah","given":"Anis","non-dropping-particle":"","parse-names":false,"suffix":""}],"container-title":"Az-Zahra Media Society","id":"ITEM-1","issue":"1","issued":{"date-parts":[["2023"]]},"page":"10-27","title":"Ekonomi Moneter Islam","type":"article-journal","volume":"3"},"uris":["http://www.mendeley.com/documents/?uuid=8e184169-15d8-4a1e-924c-c034731a259b"]}],"mendeley":{"formattedCitation":"(Irawan et al. 2023)","plainTextFormattedCitation":"(Irawan et al. 2023)","previouslyFormattedCitation":"(Irawan et al. 2023)"},"properties":{"noteIndex":0},"schema":"https://github.com/citation-style-language/schema/raw/master/csl-citation.json"}</w:instrText>
      </w:r>
      <w:r w:rsidRPr="0098279E">
        <w:rPr>
          <w:rFonts w:ascii="Times New Roman" w:hAnsi="Times New Roman" w:cs="Times New Roman"/>
          <w:sz w:val="20"/>
          <w:szCs w:val="20"/>
        </w:rPr>
        <w:fldChar w:fldCharType="separate"/>
      </w:r>
      <w:r w:rsidRPr="0098279E">
        <w:rPr>
          <w:rFonts w:ascii="Times New Roman" w:hAnsi="Times New Roman" w:cs="Times New Roman"/>
          <w:noProof/>
          <w:sz w:val="20"/>
          <w:szCs w:val="20"/>
        </w:rPr>
        <w:t>(Irawan et al. 2023)</w:t>
      </w:r>
      <w:r w:rsidRPr="0098279E">
        <w:rPr>
          <w:rFonts w:ascii="Times New Roman" w:hAnsi="Times New Roman" w:cs="Times New Roman"/>
          <w:sz w:val="20"/>
          <w:szCs w:val="20"/>
        </w:rPr>
        <w:fldChar w:fldCharType="end"/>
      </w:r>
      <w:r w:rsidR="008B2C24">
        <w:rPr>
          <w:rFonts w:ascii="Times New Roman" w:hAnsi="Times New Roman" w:cs="Times New Roman"/>
          <w:sz w:val="20"/>
          <w:szCs w:val="20"/>
        </w:rPr>
        <w:t>.</w:t>
      </w:r>
    </w:p>
    <w:p w14:paraId="1F1ADDC6" w14:textId="64BAC63A" w:rsidR="008B2C24" w:rsidRDefault="00471E53" w:rsidP="008B2C24">
      <w:pPr>
        <w:spacing w:after="0" w:line="240" w:lineRule="auto"/>
        <w:ind w:firstLine="360"/>
        <w:jc w:val="both"/>
        <w:rPr>
          <w:rFonts w:ascii="Times New Roman" w:hAnsi="Times New Roman" w:cs="Times New Roman"/>
          <w:sz w:val="20"/>
          <w:szCs w:val="20"/>
        </w:rPr>
      </w:pPr>
      <w:r w:rsidRPr="0098279E">
        <w:rPr>
          <w:rFonts w:ascii="Times New Roman" w:hAnsi="Times New Roman" w:cs="Times New Roman"/>
          <w:sz w:val="20"/>
          <w:szCs w:val="20"/>
        </w:rPr>
        <w:t xml:space="preserve">Kedua, pada sistem moneter konvensional terdapat cadangan fraksional bank. Dalam hal ini bank wajib menyimpan cadangan dalam persentase tertentu dari dana yang telah dihimpun. Oleh karena itu bank menciptakan jenis lain dari fiat money, berupa demand deposits dan uang elektronik. Sistem ini dapat memberikan keuntungan seigniorage yang tidak adil. Sedangkan pada sistem ekonomi Islam, dengan sistem serratus persen cadangan bank, maka tidak ada opportunity bagi bank untuk membuat uang baru, karena bank harus menyimpan semua dana cadangannya di bank sentral. Sedang untuk pembiayaan, bank hanya dapat menyalurkannya maksimum sesuai simpanan awal saja. Karena itu bank tidak menciptakan daya beli baru yang tidak adil, dan terhindar dari riba. </w:t>
      </w:r>
      <w:r w:rsidRPr="0098279E">
        <w:rPr>
          <w:rFonts w:ascii="Times New Roman" w:hAnsi="Times New Roman" w:cs="Times New Roman"/>
          <w:sz w:val="20"/>
          <w:szCs w:val="20"/>
        </w:rPr>
        <w:fldChar w:fldCharType="begin" w:fldLock="1"/>
      </w:r>
      <w:r w:rsidRPr="0098279E">
        <w:rPr>
          <w:rFonts w:ascii="Times New Roman" w:hAnsi="Times New Roman" w:cs="Times New Roman"/>
          <w:sz w:val="20"/>
          <w:szCs w:val="20"/>
        </w:rPr>
        <w:instrText>ADDIN CSL_CITATION {"citationItems":[{"id":"ITEM-1","itemData":{"ISBN":"9780333227794","abstract":"Predicting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Irawan","given":"Heri","non-dropping-particle":"","parse-names":false,"suffix":""},{"dropping-particle":"","family":"Permata","given":"Srianti","non-dropping-particle":"","parse-names":false,"suffix":""},{"dropping-particle":"","family":"Ramdani","given":"Eggy Armand","non-dropping-particle":"","parse-names":false,"suffix":""},{"dropping-particle":"","family":"Jastacia","given":"Bella","non-dropping-particle":"","parse-names":false,"suffix":""},{"dropping-particle":"","family":"Utama","given":"Satria","non-dropping-particle":"","parse-names":false,"suffix":""},{"dropping-particle":"","family":"Adbuh","given":"Arridho","non-dropping-particle":"","parse-names":false,"suffix":""},{"dropping-particle":"","family":"Aslamah","given":"Afidah Nur","non-dropping-particle":"","parse-names":false,"suffix":""},{"dropping-particle":"","family":"Zaroni","given":"Akhmad Nur","non-dropping-particle":"","parse-names":false,"suffix":""},{"dropping-particle":"","family":"Shofawati","given":"Atina","non-dropping-particle":"","parse-names":false,"suffix":""},{"dropping-particle":"","family":"Mustika","given":"Mega","non-dropping-particle":"","parse-names":false,"suffix":""},{"dropping-particle":"","family":"Kurlillah","given":"Anis","non-dropping-particle":"","parse-names":false,"suffix":""}],"container-title":"Az-Zahra Media Society","id":"ITEM-1","issue":"1","issued":{"date-parts":[["2023"]]},"page":"10-27","title":"Ekonomi Moneter Islam","type":"article-journal","volume":"3"},"uris":["http://www.mendeley.com/documents/?uuid=8e184169-15d8-4a1e-924c-c034731a259b"]}],"mendeley":{"formattedCitation":"(Irawan et al. 2023)","plainTextFormattedCitation":"(Irawan et al. 2023)","previouslyFormattedCitation":"(Irawan et al. 2023)"},"properties":{"noteIndex":0},"schema":"https://github.com/citation-style-language/schema/raw/master/csl-citation.json"}</w:instrText>
      </w:r>
      <w:r w:rsidRPr="0098279E">
        <w:rPr>
          <w:rFonts w:ascii="Times New Roman" w:hAnsi="Times New Roman" w:cs="Times New Roman"/>
          <w:sz w:val="20"/>
          <w:szCs w:val="20"/>
        </w:rPr>
        <w:fldChar w:fldCharType="separate"/>
      </w:r>
      <w:r w:rsidRPr="0098279E">
        <w:rPr>
          <w:rFonts w:ascii="Times New Roman" w:hAnsi="Times New Roman" w:cs="Times New Roman"/>
          <w:noProof/>
          <w:sz w:val="20"/>
          <w:szCs w:val="20"/>
        </w:rPr>
        <w:t>(Irawan et al. 2023)</w:t>
      </w:r>
      <w:r w:rsidRPr="0098279E">
        <w:rPr>
          <w:rFonts w:ascii="Times New Roman" w:hAnsi="Times New Roman" w:cs="Times New Roman"/>
          <w:sz w:val="20"/>
          <w:szCs w:val="20"/>
        </w:rPr>
        <w:fldChar w:fldCharType="end"/>
      </w:r>
      <w:r w:rsidR="008B2C24">
        <w:rPr>
          <w:rFonts w:ascii="Times New Roman" w:hAnsi="Times New Roman" w:cs="Times New Roman"/>
          <w:sz w:val="20"/>
          <w:szCs w:val="20"/>
        </w:rPr>
        <w:t>.</w:t>
      </w:r>
    </w:p>
    <w:p w14:paraId="6FC07668" w14:textId="77777777" w:rsidR="008B2C24" w:rsidRDefault="00471E53" w:rsidP="008B2C24">
      <w:pPr>
        <w:spacing w:after="0" w:line="240" w:lineRule="auto"/>
        <w:ind w:firstLine="360"/>
        <w:jc w:val="both"/>
        <w:rPr>
          <w:rFonts w:ascii="Times New Roman" w:hAnsi="Times New Roman" w:cs="Times New Roman"/>
          <w:sz w:val="20"/>
          <w:szCs w:val="20"/>
        </w:rPr>
      </w:pPr>
      <w:r w:rsidRPr="0098279E">
        <w:rPr>
          <w:rFonts w:ascii="Times New Roman" w:hAnsi="Times New Roman" w:cs="Times New Roman"/>
          <w:sz w:val="20"/>
          <w:szCs w:val="20"/>
        </w:rPr>
        <w:t xml:space="preserve">Ketiga, penggunaan uang fiat yang nilainya tidak sama dengan nilai nominalnya. Menerbitkan uang fiat berarti menciptakan daya beli baru dari sesuatu yang tidak ada dan dapat memberikan keuntungan yang tidak adil. Berbeda dengan uang emas dan perak yang berlaku dalam Islam, tidak terdapat berbedaan nilai pada intrinsik dan nominalnya. </w:t>
      </w:r>
      <w:r w:rsidRPr="0098279E">
        <w:rPr>
          <w:rFonts w:ascii="Times New Roman" w:hAnsi="Times New Roman" w:cs="Times New Roman"/>
          <w:sz w:val="20"/>
          <w:szCs w:val="20"/>
        </w:rPr>
        <w:fldChar w:fldCharType="begin" w:fldLock="1"/>
      </w:r>
      <w:r w:rsidRPr="0098279E">
        <w:rPr>
          <w:rFonts w:ascii="Times New Roman" w:hAnsi="Times New Roman" w:cs="Times New Roman"/>
          <w:sz w:val="20"/>
          <w:szCs w:val="20"/>
        </w:rPr>
        <w:instrText>ADDIN CSL_CITATION {"citationItems":[{"id":"ITEM-1","itemData":{"ISBN":"9780333227794","abstract":"Predicting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Irawan","given":"Heri","non-dropping-particle":"","parse-names":false,"suffix":""},{"dropping-particle":"","family":"Permata","given":"Srianti","non-dropping-particle":"","parse-names":false,"suffix":""},{"dropping-particle":"","family":"Ramdani","given":"Eggy Armand","non-dropping-particle":"","parse-names":false,"suffix":""},{"dropping-particle":"","family":"Jastacia","given":"Bella","non-dropping-particle":"","parse-names":false,"suffix":""},{"dropping-particle":"","family":"Utama","given":"Satria","non-dropping-particle":"","parse-names":false,"suffix":""},{"dropping-particle":"","family":"Adbuh","given":"Arridho","non-dropping-particle":"","parse-names":false,"suffix":""},{"dropping-particle":"","family":"Aslamah","given":"Afidah Nur","non-dropping-particle":"","parse-names":false,"suffix":""},{"dropping-particle":"","family":"Zaroni","given":"Akhmad Nur","non-dropping-particle":"","parse-names":false,"suffix":""},{"dropping-particle":"","family":"Shofawati","given":"Atina","non-dropping-particle":"","parse-names":false,"suffix":""},{"dropping-particle":"","family":"Mustika","given":"Mega","non-dropping-particle":"","parse-names":false,"suffix":""},{"dropping-particle":"","family":"Kurlillah","given":"Anis","non-dropping-particle":"","parse-names":false,"suffix":""}],"container-title":"Az-Zahra Media Society","id":"ITEM-1","issue":"1","issued":{"date-parts":[["2023"]]},"page":"10-27","title":"Ekonomi Moneter Islam","type":"article-journal","volume":"3"},"uris":["http://www.mendeley.com/documents/?uuid=8e184169-15d8-4a1e-924c-c034731a259b"]}],"mendeley":{"formattedCitation":"(Irawan et al. 2023)","plainTextFormattedCitation":"(Irawan et al. 2023)","previouslyFormattedCitation":"(Irawan et al. 2023)"},"properties":{"noteIndex":0},"schema":"https://github.com/citation-style-language/schema/raw/master/csl-citation.json"}</w:instrText>
      </w:r>
      <w:r w:rsidRPr="0098279E">
        <w:rPr>
          <w:rFonts w:ascii="Times New Roman" w:hAnsi="Times New Roman" w:cs="Times New Roman"/>
          <w:sz w:val="20"/>
          <w:szCs w:val="20"/>
        </w:rPr>
        <w:fldChar w:fldCharType="separate"/>
      </w:r>
      <w:r w:rsidRPr="0098279E">
        <w:rPr>
          <w:rFonts w:ascii="Times New Roman" w:hAnsi="Times New Roman" w:cs="Times New Roman"/>
          <w:noProof/>
          <w:sz w:val="20"/>
          <w:szCs w:val="20"/>
        </w:rPr>
        <w:t>(Irawan et al. 2023)</w:t>
      </w:r>
      <w:r w:rsidRPr="0098279E">
        <w:rPr>
          <w:rFonts w:ascii="Times New Roman" w:hAnsi="Times New Roman" w:cs="Times New Roman"/>
          <w:sz w:val="20"/>
          <w:szCs w:val="20"/>
        </w:rPr>
        <w:fldChar w:fldCharType="end"/>
      </w:r>
      <w:r w:rsidR="006C175D" w:rsidRPr="0098279E">
        <w:rPr>
          <w:rFonts w:ascii="Times New Roman" w:hAnsi="Times New Roman" w:cs="Times New Roman"/>
          <w:sz w:val="20"/>
          <w:szCs w:val="20"/>
        </w:rPr>
        <w:t xml:space="preserve"> </w:t>
      </w:r>
      <w:r w:rsidR="008A0849" w:rsidRPr="0098279E">
        <w:rPr>
          <w:rFonts w:ascii="Times New Roman" w:hAnsi="Times New Roman" w:cs="Times New Roman"/>
          <w:sz w:val="20"/>
          <w:szCs w:val="20"/>
        </w:rPr>
        <w:t xml:space="preserve">Pembangunan berkelanjutan mengacu pada upaya mempertahankan kegiatan membangun secara terus menerus. Hal yang dapat menjamin terpeliharanya kegiatan membangun adalah tersedianya sumber daya secara berkelanjutan untuk melaksanakan pembangunan. Jika dikaitkan dengan keberlanjutan pemanfaatan sumber daya maka konteksnya adalah upaya pemanfaatan sumber daya untuk pembangunan (kesejahteraan manusia), sedemikian rupa sehingga laju (tingkat) pemanfaatan tidak melebihi daya dukung (carrying capacity) sumber daya tersebut untuk menyediakannya. Dengan kata lain keberlanjutan pemanfaatan sumber daya sangat ditentukan oleh tingkat pemanfaatan sumber daya tersebut yang tidak melebihi daya dukungnya (carrying capacity) </w:t>
      </w:r>
      <w:r w:rsidR="008A0849" w:rsidRPr="0098279E">
        <w:rPr>
          <w:rFonts w:ascii="Times New Roman" w:hAnsi="Times New Roman" w:cs="Times New Roman"/>
          <w:sz w:val="20"/>
          <w:szCs w:val="20"/>
        </w:rPr>
        <w:fldChar w:fldCharType="begin" w:fldLock="1"/>
      </w:r>
      <w:r w:rsidR="008A0849" w:rsidRPr="0098279E">
        <w:rPr>
          <w:rFonts w:ascii="Times New Roman" w:hAnsi="Times New Roman" w:cs="Times New Roman"/>
          <w:sz w:val="20"/>
          <w:szCs w:val="20"/>
        </w:rPr>
        <w:instrText>ADDIN CSL_CITATION {"citationItems":[{"id":"ITEM-1","itemData":{"DOI":"10.15294/islrev.v2i2.38472","ISSN":"2654-3125","abstract":"Environmental problems are increasing every day. This results in a decrease in the carrying capacity of the environment. Population growth also puts a burden on the carrying capacity of the environment. To improve the quality of carrying capacity, it is necessary to implement the principle of sustainable development. With the implementation of sustainable development principles that balance economic, social and environmental aspects, the quality of the carrying capacity of the environment will be better so that the availability of natural resources for future generations will be guaranteed.","author":[{"dropping-particle":"","family":"Cahyani","given":"Ferina Ardhi","non-dropping-particle":"","parse-names":false,"suffix":""}],"container-title":"Indonesian State Law Review (ISLRev)","id":"ITEM-1","issue":"2","issued":{"date-parts":[["2020"]]},"page":"168-179","title":"Upaya Peningkatan Daya Dukung Lingkungan Melalui Penerapan Prinsip Sustainable Development Berdasarkan Undang-Undang Nomor 32 Tahun 2009 tentang Perlindungan dan Pengelolaan Lingkungan Hidup","type":"article-journal","volume":"2"},"uris":["http://www.mendeley.com/documents/?uuid=f67de4a4-60fb-4d12-805e-9072c502f2ea"]}],"mendeley":{"formattedCitation":"(Cahyani 2020)","plainTextFormattedCitation":"(Cahyani 2020)","previouslyFormattedCitation":"(Cahyani 2020)"},"properties":{"noteIndex":0},"schema":"https://github.com/citation-style-language/schema/raw/master/csl-citation.json"}</w:instrText>
      </w:r>
      <w:r w:rsidR="008A0849" w:rsidRPr="0098279E">
        <w:rPr>
          <w:rFonts w:ascii="Times New Roman" w:hAnsi="Times New Roman" w:cs="Times New Roman"/>
          <w:sz w:val="20"/>
          <w:szCs w:val="20"/>
        </w:rPr>
        <w:fldChar w:fldCharType="separate"/>
      </w:r>
      <w:r w:rsidR="008A0849" w:rsidRPr="0098279E">
        <w:rPr>
          <w:rFonts w:ascii="Times New Roman" w:hAnsi="Times New Roman" w:cs="Times New Roman"/>
          <w:noProof/>
          <w:sz w:val="20"/>
          <w:szCs w:val="20"/>
        </w:rPr>
        <w:t>(Cahyani 2020)</w:t>
      </w:r>
      <w:r w:rsidR="008A0849" w:rsidRPr="0098279E">
        <w:rPr>
          <w:rFonts w:ascii="Times New Roman" w:hAnsi="Times New Roman" w:cs="Times New Roman"/>
          <w:sz w:val="20"/>
          <w:szCs w:val="20"/>
        </w:rPr>
        <w:fldChar w:fldCharType="end"/>
      </w:r>
      <w:r w:rsidR="008A0849" w:rsidRPr="0098279E">
        <w:rPr>
          <w:rFonts w:ascii="Times New Roman" w:hAnsi="Times New Roman" w:cs="Times New Roman"/>
          <w:sz w:val="20"/>
          <w:szCs w:val="20"/>
        </w:rPr>
        <w:t>.</w:t>
      </w:r>
    </w:p>
    <w:p w14:paraId="2D9ED47B" w14:textId="59C82F03" w:rsidR="0098279E" w:rsidRPr="0098279E" w:rsidRDefault="008A0849" w:rsidP="008B2C24">
      <w:pPr>
        <w:spacing w:after="0" w:line="240" w:lineRule="auto"/>
        <w:ind w:firstLine="360"/>
        <w:jc w:val="both"/>
        <w:rPr>
          <w:rFonts w:ascii="Times New Roman" w:hAnsi="Times New Roman" w:cs="Times New Roman"/>
          <w:sz w:val="20"/>
          <w:szCs w:val="20"/>
        </w:rPr>
      </w:pPr>
      <w:r w:rsidRPr="0098279E">
        <w:rPr>
          <w:rFonts w:ascii="Times New Roman" w:hAnsi="Times New Roman" w:cs="Times New Roman"/>
          <w:sz w:val="20"/>
          <w:szCs w:val="20"/>
        </w:rPr>
        <w:t xml:space="preserve">Pengelolaan lingkungan hidup harus memperhatikan daya dukung dan daya tampung lingkungan hidup. Daya dukung lingkungan hidup merupakan kemampuan lingkungan hidup untuk mendukung perikehidupan manusia, makhluk hidup lain, dan keseimbangan antar keduanya, sedangkan daya tampung lingkungan hidup adalah kemampuan lingkungan hidup untuk menyerap zat, energi, dan/atau komponen lain yang masuk atau dimasukkan ke dalamnya. Oleh sebab itu diperlukan pengelolaan lingkungan hidup dengan prinsip pembangunan berkelanjutan. Pembangunan berkelanjutan diperlukan untuk meminimalisasi dampak negatif dari pembangunan yang berdampak pada lingkungan hidup. Konsep tersebut berkaitan erat dengan bagaimana cara untuk mewujudkan keadilan bagi satu generasi maupun antar generasi </w:t>
      </w:r>
      <w:r w:rsidRPr="0098279E">
        <w:rPr>
          <w:rFonts w:ascii="Times New Roman" w:hAnsi="Times New Roman" w:cs="Times New Roman"/>
          <w:sz w:val="20"/>
          <w:szCs w:val="20"/>
        </w:rPr>
        <w:fldChar w:fldCharType="begin" w:fldLock="1"/>
      </w:r>
      <w:r w:rsidR="00037A4C" w:rsidRPr="0098279E">
        <w:rPr>
          <w:rFonts w:ascii="Times New Roman" w:hAnsi="Times New Roman" w:cs="Times New Roman"/>
          <w:sz w:val="20"/>
          <w:szCs w:val="20"/>
        </w:rPr>
        <w:instrText>ADDIN CSL_CITATION {"citationItems":[{"id":"ITEM-1","itemData":{"DOI":"10.15294/islrev.v2i2.38472","ISSN":"2654-3125","abstract":"Environmental problems are increasing every day. This results in a decrease in the carrying capacity of the environment. Population growth also puts a burden on the carrying capacity of the environment. To improve the quality of carrying capacity, it is necessary to implement the principle of sustainable development. With the implementation of sustainable development principles that balance economic, social and environmental aspects, the quality of the carrying capacity of the environment will be better so that the availability of natural resources for future generations will be guaranteed.","author":[{"dropping-particle":"","family":"Cahyani","given":"Ferina Ardhi","non-dropping-particle":"","parse-names":false,"suffix":""}],"container-title":"Indonesian State Law Review (ISLRev)","id":"ITEM-1","issue":"2","issued":{"date-parts":[["2020"]]},"page":"168-179","title":"Upaya Peningkatan Daya Dukung Lingkungan Melalui Penerapan Prinsip Sustainable Development Berdasarkan Undang-Undang Nomor 32 Tahun 2009 tentang Perlindungan dan Pengelolaan Lingkungan Hidup","type":"article-journal","volume":"2"},"uris":["http://www.mendeley.com/documents/?uuid=f67de4a4-60fb-4d12-805e-9072c502f2ea"]}],"mendeley":{"formattedCitation":"(Cahyani 2020)","plainTextFormattedCitation":"(Cahyani 2020)","previouslyFormattedCitation":"(Cahyani 2020)"},"properties":{"noteIndex":0},"schema":"https://github.com/citation-style-language/schema/raw/master/csl-citation.json"}</w:instrText>
      </w:r>
      <w:r w:rsidRPr="0098279E">
        <w:rPr>
          <w:rFonts w:ascii="Times New Roman" w:hAnsi="Times New Roman" w:cs="Times New Roman"/>
          <w:sz w:val="20"/>
          <w:szCs w:val="20"/>
        </w:rPr>
        <w:fldChar w:fldCharType="separate"/>
      </w:r>
      <w:r w:rsidRPr="0098279E">
        <w:rPr>
          <w:rFonts w:ascii="Times New Roman" w:hAnsi="Times New Roman" w:cs="Times New Roman"/>
          <w:noProof/>
          <w:sz w:val="20"/>
          <w:szCs w:val="20"/>
        </w:rPr>
        <w:t>(Cahyani 2020)</w:t>
      </w:r>
      <w:r w:rsidRPr="0098279E">
        <w:rPr>
          <w:rFonts w:ascii="Times New Roman" w:hAnsi="Times New Roman" w:cs="Times New Roman"/>
          <w:sz w:val="20"/>
          <w:szCs w:val="20"/>
        </w:rPr>
        <w:fldChar w:fldCharType="end"/>
      </w:r>
      <w:r w:rsidRPr="0098279E">
        <w:rPr>
          <w:rFonts w:ascii="Times New Roman" w:hAnsi="Times New Roman" w:cs="Times New Roman"/>
          <w:sz w:val="20"/>
          <w:szCs w:val="20"/>
        </w:rPr>
        <w:t>.</w:t>
      </w:r>
    </w:p>
    <w:p w14:paraId="7662EDB7" w14:textId="346498EF" w:rsidR="0085251F" w:rsidRPr="0098279E" w:rsidRDefault="008F009C" w:rsidP="00007546">
      <w:pPr>
        <w:spacing w:line="240" w:lineRule="auto"/>
        <w:ind w:firstLine="360"/>
        <w:jc w:val="both"/>
        <w:rPr>
          <w:rFonts w:ascii="Times New Roman" w:hAnsi="Times New Roman" w:cs="Times New Roman"/>
          <w:sz w:val="20"/>
          <w:szCs w:val="20"/>
        </w:rPr>
      </w:pPr>
      <w:r w:rsidRPr="0098279E">
        <w:rPr>
          <w:rFonts w:ascii="Times New Roman" w:hAnsi="Times New Roman" w:cs="Times New Roman"/>
          <w:sz w:val="20"/>
          <w:szCs w:val="20"/>
        </w:rPr>
        <w:t xml:space="preserve"> </w:t>
      </w:r>
      <w:r w:rsidR="00037A4C" w:rsidRPr="0098279E">
        <w:rPr>
          <w:rFonts w:ascii="Times New Roman" w:hAnsi="Times New Roman" w:cs="Times New Roman"/>
          <w:sz w:val="20"/>
          <w:szCs w:val="20"/>
        </w:rPr>
        <w:t>Dalam ekonomi Islam kemerataan menjadi penting, harta yang tidak boleh dinikmati hanya segelintir orang saja. Tetapi upaya harta terus berputar dan bisa didistribusikan melalui kegiatan ekonomi, agar semua orang punya peluang yang sama untuk mencapai kesajahteraan ekonomi. Kesejahteraan yang dikehendaki dalam ekonomi Islam ini sejalan dengan Sustainable Development Goals (SDGs), yang saat ini juga menjadi tujuan pembangunan secara global. SDGs sendiri memiliki 17 tujuan dan 169 pencapaian sesuai dengan ketentuan PBB.</w:t>
      </w:r>
      <w:r w:rsidR="00037A4C" w:rsidRPr="0098279E">
        <w:rPr>
          <w:rFonts w:ascii="Times New Roman" w:hAnsi="Times New Roman" w:cs="Times New Roman"/>
          <w:sz w:val="20"/>
          <w:szCs w:val="20"/>
        </w:rPr>
        <w:fldChar w:fldCharType="begin" w:fldLock="1"/>
      </w:r>
      <w:r w:rsidR="006B2F94" w:rsidRPr="0098279E">
        <w:rPr>
          <w:rFonts w:ascii="Times New Roman" w:hAnsi="Times New Roman" w:cs="Times New Roman"/>
          <w:sz w:val="20"/>
          <w:szCs w:val="20"/>
        </w:rPr>
        <w:instrText>ADDIN CSL_CITATION {"citationItems":[{"id":"ITEM-1","itemData":{"DOI":"10.15294/islrev.v2i2.38472","ISSN":"2654-3125","abstract":"Environmental problems are increasing every day. This results in a decrease in the carrying capacity of the environment. Population growth also puts a burden on the carrying capacity of the environment. To improve the quality of carrying capacity, it is necessary to implement the principle of sustainable development. With the implementation of sustainable development principles that balance economic, social and environmental aspects, the quality of the carrying capacity of the environment will be better so that the availability of natural resources for future generations will be guaranteed.","author":[{"dropping-particle":"","family":"Cahyani","given":"Ferina Ardhi","non-dropping-particle":"","parse-names":false,"suffix":""}],"container-title":"Indonesian State Law Review (ISLRev)","id":"ITEM-1","issue":"2","issued":{"date-parts":[["2020"]]},"page":"168-179","title":"Upaya Peningkatan Daya Dukung Lingkungan Melalui Penerapan Prinsip Sustainable Development Berdasarkan Undang-Undang Nomor 32 Tahun 2009 tentang Perlindungan dan Pengelolaan Lingkungan Hidup","type":"article-journal","volume":"2"},"uris":["http://www.mendeley.com/documents/?uuid=f67de4a4-60fb-4d12-805e-9072c502f2ea"]}],"mendeley":{"formattedCitation":"(Cahyani 2020)","plainTextFormattedCitation":"(Cahyani 2020)","previouslyFormattedCitation":"(Cahyani 2020)"},"properties":{"noteIndex":0},"schema":"https://github.com/citation-style-language/schema/raw/master/csl-citation.json"}</w:instrText>
      </w:r>
      <w:r w:rsidR="00037A4C" w:rsidRPr="0098279E">
        <w:rPr>
          <w:rFonts w:ascii="Times New Roman" w:hAnsi="Times New Roman" w:cs="Times New Roman"/>
          <w:sz w:val="20"/>
          <w:szCs w:val="20"/>
        </w:rPr>
        <w:fldChar w:fldCharType="separate"/>
      </w:r>
      <w:r w:rsidR="00037A4C" w:rsidRPr="0098279E">
        <w:rPr>
          <w:rFonts w:ascii="Times New Roman" w:hAnsi="Times New Roman" w:cs="Times New Roman"/>
          <w:noProof/>
          <w:sz w:val="20"/>
          <w:szCs w:val="20"/>
        </w:rPr>
        <w:t>(Cahyani 2020)</w:t>
      </w:r>
      <w:r w:rsidR="00037A4C" w:rsidRPr="0098279E">
        <w:rPr>
          <w:rFonts w:ascii="Times New Roman" w:hAnsi="Times New Roman" w:cs="Times New Roman"/>
          <w:sz w:val="20"/>
          <w:szCs w:val="20"/>
        </w:rPr>
        <w:fldChar w:fldCharType="end"/>
      </w:r>
      <w:r w:rsidR="0098279E" w:rsidRPr="0098279E">
        <w:rPr>
          <w:rFonts w:ascii="Times New Roman" w:hAnsi="Times New Roman" w:cs="Times New Roman"/>
          <w:sz w:val="20"/>
          <w:szCs w:val="20"/>
        </w:rPr>
        <w:t>.</w:t>
      </w:r>
    </w:p>
    <w:p w14:paraId="0552B8FD" w14:textId="77777777" w:rsidR="006161AC" w:rsidRPr="0098279E" w:rsidRDefault="00DD2731" w:rsidP="00007546">
      <w:pPr>
        <w:spacing w:line="240" w:lineRule="auto"/>
        <w:jc w:val="both"/>
        <w:rPr>
          <w:rFonts w:ascii="Times New Roman" w:hAnsi="Times New Roman" w:cs="Times New Roman"/>
          <w:sz w:val="20"/>
          <w:szCs w:val="20"/>
        </w:rPr>
      </w:pPr>
      <w:r w:rsidRPr="0098279E">
        <w:rPr>
          <w:rFonts w:ascii="Times New Roman" w:hAnsi="Times New Roman" w:cs="Times New Roman"/>
          <w:sz w:val="20"/>
          <w:szCs w:val="20"/>
        </w:rPr>
        <w:t>Negara-negara yang sudah menerapkan SDG</w:t>
      </w:r>
      <w:r w:rsidR="00FA3F1C" w:rsidRPr="0098279E">
        <w:rPr>
          <w:rFonts w:ascii="Times New Roman" w:hAnsi="Times New Roman" w:cs="Times New Roman"/>
          <w:sz w:val="20"/>
          <w:szCs w:val="20"/>
        </w:rPr>
        <w:t>s.</w:t>
      </w:r>
    </w:p>
    <w:p w14:paraId="121D243D" w14:textId="4BBB0E78" w:rsidR="00DD2731" w:rsidRPr="006161AC" w:rsidRDefault="006161AC" w:rsidP="00007546">
      <w:pPr>
        <w:pStyle w:val="ListParagraph"/>
        <w:numPr>
          <w:ilvl w:val="0"/>
          <w:numId w:val="44"/>
        </w:numPr>
        <w:spacing w:after="0" w:line="240" w:lineRule="auto"/>
        <w:jc w:val="both"/>
        <w:rPr>
          <w:rFonts w:ascii="Times New Roman" w:hAnsi="Times New Roman" w:cs="Times New Roman"/>
          <w:i/>
          <w:iCs/>
          <w:sz w:val="24"/>
          <w:szCs w:val="24"/>
        </w:rPr>
      </w:pPr>
      <w:r w:rsidRPr="006161AC">
        <w:rPr>
          <w:rFonts w:ascii="Times New Roman" w:hAnsi="Times New Roman" w:cs="Times New Roman"/>
          <w:i/>
          <w:iCs/>
          <w:sz w:val="24"/>
          <w:szCs w:val="24"/>
        </w:rPr>
        <w:lastRenderedPageBreak/>
        <w:t xml:space="preserve"> </w:t>
      </w:r>
      <w:r w:rsidR="00DD2731" w:rsidRPr="006161AC">
        <w:rPr>
          <w:rFonts w:ascii="Times New Roman" w:hAnsi="Times New Roman" w:cs="Times New Roman"/>
          <w:i/>
          <w:iCs/>
          <w:sz w:val="24"/>
          <w:szCs w:val="24"/>
        </w:rPr>
        <w:t>Jerman.</w:t>
      </w:r>
    </w:p>
    <w:p w14:paraId="6FF43013" w14:textId="6346F652" w:rsidR="00DD2731" w:rsidRPr="0098279E" w:rsidRDefault="00DD2731" w:rsidP="00007546">
      <w:pPr>
        <w:spacing w:after="0" w:line="240" w:lineRule="auto"/>
        <w:ind w:firstLine="360"/>
        <w:jc w:val="both"/>
        <w:rPr>
          <w:rFonts w:ascii="Times New Roman" w:hAnsi="Times New Roman" w:cs="Times New Roman"/>
          <w:sz w:val="20"/>
          <w:szCs w:val="20"/>
        </w:rPr>
      </w:pPr>
      <w:r w:rsidRPr="0098279E">
        <w:rPr>
          <w:rFonts w:ascii="Times New Roman" w:hAnsi="Times New Roman" w:cs="Times New Roman"/>
          <w:sz w:val="20"/>
          <w:szCs w:val="20"/>
        </w:rPr>
        <w:t>Jerman menggunakan strategi pembangunan berkelanjutan yang komprehensif untuk mencapai Tujuan Pembangunan Berkelanjutan (Sustainable Development Goals/SDGs). Strategi ini mencakup berbagai kebijakan dan investasi yang mendukung transformasi ekonomi hijau dan perlindungan iklim.</w:t>
      </w:r>
      <w:r w:rsidR="006B2F94" w:rsidRPr="0098279E">
        <w:rPr>
          <w:rFonts w:ascii="Times New Roman" w:hAnsi="Times New Roman" w:cs="Times New Roman"/>
          <w:sz w:val="20"/>
          <w:szCs w:val="20"/>
        </w:rPr>
        <w:t xml:space="preserve"> </w:t>
      </w:r>
      <w:r w:rsidRPr="0098279E">
        <w:rPr>
          <w:rFonts w:ascii="Times New Roman" w:hAnsi="Times New Roman" w:cs="Times New Roman"/>
          <w:sz w:val="20"/>
          <w:szCs w:val="20"/>
        </w:rPr>
        <w:t xml:space="preserve">Salah satu langkah konkret adalah alokasi dana sebesar 57 miliar euro untuk investasi infrastruktur hijau pada tahun 2024. Dana ini akan digunakan untuk mendukung proyek-proyek seperti renovasi gedung agar lebih ramah lingkungan, pengembangan energi terbarukan, dan perluasan jaringan transportasi berkelanjutan. Langkah ini bertujuan untuk mencapai target "nol emisi" gas rumah kaca pada tahun 2045. </w:t>
      </w:r>
      <w:r w:rsidR="006B2F94" w:rsidRPr="0098279E">
        <w:rPr>
          <w:rFonts w:ascii="Times New Roman" w:hAnsi="Times New Roman" w:cs="Times New Roman"/>
          <w:sz w:val="20"/>
          <w:szCs w:val="20"/>
        </w:rPr>
        <w:fldChar w:fldCharType="begin" w:fldLock="1"/>
      </w:r>
      <w:r w:rsidR="00006407" w:rsidRPr="0098279E">
        <w:rPr>
          <w:rFonts w:ascii="Times New Roman" w:hAnsi="Times New Roman" w:cs="Times New Roman"/>
          <w:sz w:val="20"/>
          <w:szCs w:val="20"/>
        </w:rPr>
        <w:instrText>ADDIN CSL_CITATION {"citationItems":[{"id":"ITEM-1","itemData":{"URL":"https://www.dw.com/id/jerman-siapkan-miliaran-euro-untuk-infrastruktur-hijau/a-66505735?utm_source=chatgpt.com","author":[{"dropping-particle":"","family":"Deutsche Welle","given":"","non-dropping-particle":"","parse-names":false,"suffix":""}],"container-title":"Deutsche Welle","id":"ITEM-1","issued":{"date-parts":[["2023"]]},"page":"2023","title":"Jerman Siapkan 57 Miliar Euro untuk Infrastruktur Hijau 2024","type":"webpage"},"uris":["http://www.mendeley.com/documents/?uuid=8b9c8a08-972f-4676-a58b-5c471708e887"]}],"mendeley":{"formattedCitation":"(Deutsche Welle 2023)","plainTextFormattedCitation":"(Deutsche Welle 2023)","previouslyFormattedCitation":"(Deutsche Welle 2023)"},"properties":{"noteIndex":0},"schema":"https://github.com/citation-style-language/schema/raw/master/csl-citation.json"}</w:instrText>
      </w:r>
      <w:r w:rsidR="006B2F94" w:rsidRPr="0098279E">
        <w:rPr>
          <w:rFonts w:ascii="Times New Roman" w:hAnsi="Times New Roman" w:cs="Times New Roman"/>
          <w:sz w:val="20"/>
          <w:szCs w:val="20"/>
        </w:rPr>
        <w:fldChar w:fldCharType="separate"/>
      </w:r>
      <w:r w:rsidR="006B2F94" w:rsidRPr="0098279E">
        <w:rPr>
          <w:rFonts w:ascii="Times New Roman" w:hAnsi="Times New Roman" w:cs="Times New Roman"/>
          <w:noProof/>
          <w:sz w:val="20"/>
          <w:szCs w:val="20"/>
        </w:rPr>
        <w:t>(Deutsche Welle 2023)</w:t>
      </w:r>
      <w:r w:rsidR="006B2F94" w:rsidRPr="0098279E">
        <w:rPr>
          <w:rFonts w:ascii="Times New Roman" w:hAnsi="Times New Roman" w:cs="Times New Roman"/>
          <w:sz w:val="20"/>
          <w:szCs w:val="20"/>
        </w:rPr>
        <w:fldChar w:fldCharType="end"/>
      </w:r>
      <w:r w:rsidR="0098279E">
        <w:rPr>
          <w:rFonts w:ascii="Times New Roman" w:hAnsi="Times New Roman" w:cs="Times New Roman"/>
          <w:sz w:val="20"/>
          <w:szCs w:val="20"/>
        </w:rPr>
        <w:t>.</w:t>
      </w:r>
    </w:p>
    <w:p w14:paraId="79C12286" w14:textId="641DB8C9" w:rsidR="006B2F94" w:rsidRPr="0098279E" w:rsidRDefault="006B2F94" w:rsidP="00007546">
      <w:pPr>
        <w:spacing w:line="240" w:lineRule="auto"/>
        <w:ind w:firstLine="360"/>
        <w:jc w:val="both"/>
        <w:rPr>
          <w:rFonts w:ascii="Times New Roman" w:hAnsi="Times New Roman" w:cs="Times New Roman"/>
          <w:sz w:val="20"/>
          <w:szCs w:val="20"/>
        </w:rPr>
      </w:pPr>
      <w:r w:rsidRPr="0098279E">
        <w:rPr>
          <w:rFonts w:ascii="Times New Roman" w:hAnsi="Times New Roman" w:cs="Times New Roman"/>
          <w:sz w:val="20"/>
          <w:szCs w:val="20"/>
        </w:rPr>
        <w:t xml:space="preserve">Selain itu, Jerman telah mengintegrasikan 17 tujuan pembangunan berkelanjutan (SDGs) ke dalam Strategi Pembangunan Berkelanjutan Nasional mereka sejak tahun 2016. Strategi ini menekankan pentingnya keadilan antar generasi, kualitas hidup, kohesi sosial, dan tanggung jawab internasional. Pemerintah Jerman berkomitmen untuk terus memperbarui dan mengimplementasikan strategi ini dengan melibatkan berbagai pemangku kepentingan. Jerman berupaya memastikan bahwa kebijakan moneter dan fiskal mereka selaras dengan tujuan pembangunan berkelanjutan, melalui investasi yang mendukung transformasi hijau dan kebijakan yang mendorong pertumbuhan ekonomi berkelanjutan. </w:t>
      </w:r>
      <w:r w:rsidR="00006407" w:rsidRPr="0098279E">
        <w:rPr>
          <w:rFonts w:ascii="Times New Roman" w:hAnsi="Times New Roman" w:cs="Times New Roman"/>
          <w:sz w:val="20"/>
          <w:szCs w:val="20"/>
        </w:rPr>
        <w:fldChar w:fldCharType="begin" w:fldLock="1"/>
      </w:r>
      <w:r w:rsidR="00676AC7" w:rsidRPr="0098279E">
        <w:rPr>
          <w:rFonts w:ascii="Times New Roman" w:hAnsi="Times New Roman" w:cs="Times New Roman"/>
          <w:sz w:val="20"/>
          <w:szCs w:val="20"/>
        </w:rPr>
        <w:instrText>ADDIN CSL_CITATION {"citationItems":[{"id":"ITEM-1","itemData":{"URL":"https://www.bundesregierung.de/breg-en/issues/sustainability/germany-s-sustainable-development-strategy-354566?utm_source=chatgpt.com","author":[{"dropping-particle":"","family":"Government","given":"Federal","non-dropping-particle":"","parse-names":false,"suffix":""}],"container-title":"Federal Government","id":"ITEM-1","issued":{"date-parts":[["2022"]]},"page":"2022","title":"Germany's Sustainable Development Strategy","type":"webpage"},"uris":["http://www.mendeley.com/documents/?uuid=f07cbf29-905c-452a-9f01-b62cdad452d6"]}],"mendeley":{"formattedCitation":"(Government 2022)","plainTextFormattedCitation":"(Government 2022)","previouslyFormattedCitation":"(Government 2022)"},"properties":{"noteIndex":0},"schema":"https://github.com/citation-style-language/schema/raw/master/csl-citation.json"}</w:instrText>
      </w:r>
      <w:r w:rsidR="00006407" w:rsidRPr="0098279E">
        <w:rPr>
          <w:rFonts w:ascii="Times New Roman" w:hAnsi="Times New Roman" w:cs="Times New Roman"/>
          <w:sz w:val="20"/>
          <w:szCs w:val="20"/>
        </w:rPr>
        <w:fldChar w:fldCharType="separate"/>
      </w:r>
      <w:r w:rsidR="00006407" w:rsidRPr="0098279E">
        <w:rPr>
          <w:rFonts w:ascii="Times New Roman" w:hAnsi="Times New Roman" w:cs="Times New Roman"/>
          <w:noProof/>
          <w:sz w:val="20"/>
          <w:szCs w:val="20"/>
        </w:rPr>
        <w:t>(Government 2022)</w:t>
      </w:r>
      <w:r w:rsidR="00006407" w:rsidRPr="0098279E">
        <w:rPr>
          <w:rFonts w:ascii="Times New Roman" w:hAnsi="Times New Roman" w:cs="Times New Roman"/>
          <w:sz w:val="20"/>
          <w:szCs w:val="20"/>
        </w:rPr>
        <w:fldChar w:fldCharType="end"/>
      </w:r>
      <w:r w:rsidR="0098279E">
        <w:rPr>
          <w:rFonts w:ascii="Times New Roman" w:hAnsi="Times New Roman" w:cs="Times New Roman"/>
          <w:sz w:val="20"/>
          <w:szCs w:val="20"/>
        </w:rPr>
        <w:t>.</w:t>
      </w:r>
    </w:p>
    <w:p w14:paraId="0DDFEB12" w14:textId="771C502C" w:rsidR="00006407" w:rsidRPr="006161AC" w:rsidRDefault="00676AC7" w:rsidP="00007546">
      <w:pPr>
        <w:pStyle w:val="ListParagraph"/>
        <w:numPr>
          <w:ilvl w:val="0"/>
          <w:numId w:val="42"/>
        </w:numPr>
        <w:spacing w:after="0" w:line="240" w:lineRule="auto"/>
        <w:jc w:val="both"/>
        <w:rPr>
          <w:rFonts w:ascii="Times New Roman" w:hAnsi="Times New Roman" w:cs="Times New Roman"/>
          <w:i/>
          <w:iCs/>
          <w:sz w:val="24"/>
          <w:szCs w:val="24"/>
        </w:rPr>
      </w:pPr>
      <w:r w:rsidRPr="006161AC">
        <w:rPr>
          <w:rFonts w:ascii="Times New Roman" w:hAnsi="Times New Roman" w:cs="Times New Roman"/>
          <w:i/>
          <w:iCs/>
          <w:sz w:val="24"/>
          <w:szCs w:val="24"/>
        </w:rPr>
        <w:t>China.</w:t>
      </w:r>
    </w:p>
    <w:p w14:paraId="12AF1049" w14:textId="70508AAD" w:rsidR="00676AC7" w:rsidRPr="0098279E" w:rsidRDefault="00676AC7" w:rsidP="00007546">
      <w:pPr>
        <w:spacing w:after="0" w:line="240" w:lineRule="auto"/>
        <w:ind w:firstLine="360"/>
        <w:jc w:val="both"/>
        <w:rPr>
          <w:rFonts w:ascii="Times New Roman" w:hAnsi="Times New Roman" w:cs="Times New Roman"/>
          <w:sz w:val="20"/>
          <w:szCs w:val="20"/>
        </w:rPr>
      </w:pPr>
      <w:r w:rsidRPr="0098279E">
        <w:rPr>
          <w:rFonts w:ascii="Times New Roman" w:hAnsi="Times New Roman" w:cs="Times New Roman"/>
          <w:sz w:val="20"/>
          <w:szCs w:val="20"/>
        </w:rPr>
        <w:t xml:space="preserve">China menerapkan berbagai kebijakan moneter dan fiskal untuk mencapai Tujuan Pembangunan Berkelanjutan (SDGs). Bank Rakyat China (PBoC) memainkan peran penting dengan menerapkan kebijakan moneter yang hati-hati dan efektif, termasuk pemotongan suku bunga dan penurunan rasio cadangan kas bank untuk meningkatkan likuiditas pasar. Langkah-langkah ini bertujuan mendukung ekonomi riil dan mendorong pertumbuhan sektor-sektor strategis seperti manufaktur maju dan industri baru yang strategis. </w:t>
      </w:r>
      <w:r w:rsidRPr="0098279E">
        <w:rPr>
          <w:rFonts w:ascii="Times New Roman" w:hAnsi="Times New Roman" w:cs="Times New Roman"/>
          <w:sz w:val="20"/>
          <w:szCs w:val="20"/>
        </w:rPr>
        <w:fldChar w:fldCharType="begin" w:fldLock="1"/>
      </w:r>
      <w:r w:rsidR="0041459E" w:rsidRPr="0098279E">
        <w:rPr>
          <w:rFonts w:ascii="Times New Roman" w:hAnsi="Times New Roman" w:cs="Times New Roman"/>
          <w:sz w:val="20"/>
          <w:szCs w:val="20"/>
        </w:rPr>
        <w:instrText>ADDIN CSL_CITATION {"citationItems":[{"id":"ITEM-1","itemData":{"URL":"https://www.antaranews.com/berita/3786159/sistem-keuangan-china-janjikan-upaya-untuk-dukung-ekonomi-riil?utm_source=chatgpt.com","author":[{"dropping-particle":"","family":"Alviansyah Pasaribu","given":"","non-dropping-particle":"","parse-names":false,"suffix":""}],"container-title":"ANTARA","id":"ITEM-1","issued":{"date-parts":[["2023"]]},"title":"Sistem keuangan China janjikan upaya untuk dukung ekonomi riil","type":"webpage"},"uris":["http://www.mendeley.com/documents/?uuid=a1892426-3ffd-49ac-8d63-57e6385a6d46"]}],"mendeley":{"formattedCitation":"(Alviansyah Pasaribu 2023)","plainTextFormattedCitation":"(Alviansyah Pasaribu 2023)","previouslyFormattedCitation":"(Alviansyah Pasaribu 2023)"},"properties":{"noteIndex":0},"schema":"https://github.com/citation-style-language/schema/raw/master/csl-citation.json"}</w:instrText>
      </w:r>
      <w:r w:rsidRPr="0098279E">
        <w:rPr>
          <w:rFonts w:ascii="Times New Roman" w:hAnsi="Times New Roman" w:cs="Times New Roman"/>
          <w:sz w:val="20"/>
          <w:szCs w:val="20"/>
        </w:rPr>
        <w:fldChar w:fldCharType="separate"/>
      </w:r>
      <w:r w:rsidRPr="0098279E">
        <w:rPr>
          <w:rFonts w:ascii="Times New Roman" w:hAnsi="Times New Roman" w:cs="Times New Roman"/>
          <w:noProof/>
          <w:sz w:val="20"/>
          <w:szCs w:val="20"/>
        </w:rPr>
        <w:t>(Alviansyah Pasaribu 2023)</w:t>
      </w:r>
      <w:r w:rsidRPr="0098279E">
        <w:rPr>
          <w:rFonts w:ascii="Times New Roman" w:hAnsi="Times New Roman" w:cs="Times New Roman"/>
          <w:sz w:val="20"/>
          <w:szCs w:val="20"/>
        </w:rPr>
        <w:fldChar w:fldCharType="end"/>
      </w:r>
      <w:r w:rsidR="0098279E">
        <w:rPr>
          <w:rFonts w:ascii="Times New Roman" w:hAnsi="Times New Roman" w:cs="Times New Roman"/>
          <w:sz w:val="20"/>
          <w:szCs w:val="20"/>
        </w:rPr>
        <w:t>.</w:t>
      </w:r>
    </w:p>
    <w:p w14:paraId="55F8FA0D" w14:textId="4AD1FDFC" w:rsidR="00676AC7" w:rsidRPr="0098279E" w:rsidRDefault="00676AC7" w:rsidP="00007546">
      <w:pPr>
        <w:spacing w:line="240" w:lineRule="auto"/>
        <w:ind w:firstLine="360"/>
        <w:jc w:val="both"/>
        <w:rPr>
          <w:rFonts w:ascii="Times New Roman" w:hAnsi="Times New Roman" w:cs="Times New Roman"/>
          <w:sz w:val="20"/>
          <w:szCs w:val="20"/>
        </w:rPr>
      </w:pPr>
      <w:r w:rsidRPr="0098279E">
        <w:rPr>
          <w:rFonts w:ascii="Times New Roman" w:hAnsi="Times New Roman" w:cs="Times New Roman"/>
          <w:sz w:val="20"/>
          <w:szCs w:val="20"/>
        </w:rPr>
        <w:t>Selain itu, China berupaya memperkuat peran mata uangnya, Yuan, dalam transaksi internasional melalui inisiatif seperti Belt and Road Initiative (BRI) dan pembentukan infrastruktur keuangan global seperti Asian Infrastructure Investment Bank (AIIB). Langkah-langkah ini bertujuan menawarkan alternatif terhadap sistem keuangan yang didominasi oleh Dolar AS dan lembaga-lembaga keuangan Barat.  melalui kombinasi kebijakan moneter yang adaptif dan inisiatif strategis, China berupaya memastikan bahwa sistem keuangannya mendukung pencapaian SDGs dan pertumbuhan ekonomi yang berkelanjutan.</w:t>
      </w:r>
      <w:r w:rsidR="0041459E" w:rsidRPr="0098279E">
        <w:rPr>
          <w:rFonts w:ascii="Times New Roman" w:hAnsi="Times New Roman" w:cs="Times New Roman"/>
          <w:sz w:val="20"/>
          <w:szCs w:val="20"/>
        </w:rPr>
        <w:t xml:space="preserve"> </w:t>
      </w:r>
      <w:r w:rsidR="0041459E" w:rsidRPr="0098279E">
        <w:rPr>
          <w:rFonts w:ascii="Times New Roman" w:hAnsi="Times New Roman" w:cs="Times New Roman"/>
          <w:sz w:val="20"/>
          <w:szCs w:val="20"/>
        </w:rPr>
        <w:fldChar w:fldCharType="begin" w:fldLock="1"/>
      </w:r>
      <w:r w:rsidR="00470A55" w:rsidRPr="0098279E">
        <w:rPr>
          <w:rFonts w:ascii="Times New Roman" w:hAnsi="Times New Roman" w:cs="Times New Roman"/>
          <w:sz w:val="20"/>
          <w:szCs w:val="20"/>
        </w:rPr>
        <w:instrText>ADDIN CSL_CITATION {"citationItems":[{"id":"ITEM-1","itemData":{"URL":"https://www.kompasiana.com/saraharzaty9847/66077e2d147093120a3e59d2/peran-china-dalam-sistem-moneter-internasional-respon-terhadap-pandemi-covid-19?page=1&amp;page_images=1","author":[{"dropping-particle":"","family":"kompasiana","given":"","non-dropping-particle":"","parse-names":false,"suffix":""}],"container-title":"kompasiana","id":"ITEM-1","issued":{"date-parts":[["2024"]]},"title":"Peran China dalam Sistem Moneter Internasional: Respon terhadap Pandemi Covid-19","type":"webpage"},"uris":["http://www.mendeley.com/documents/?uuid=4bedf61b-92ac-4bcb-a58f-cd934eecdb81"]}],"mendeley":{"formattedCitation":"(kompasiana 2024)","plainTextFormattedCitation":"(kompasiana 2024)","previouslyFormattedCitation":"(kompasiana 2024)"},"properties":{"noteIndex":0},"schema":"https://github.com/citation-style-language/schema/raw/master/csl-citation.json"}</w:instrText>
      </w:r>
      <w:r w:rsidR="0041459E" w:rsidRPr="0098279E">
        <w:rPr>
          <w:rFonts w:ascii="Times New Roman" w:hAnsi="Times New Roman" w:cs="Times New Roman"/>
          <w:sz w:val="20"/>
          <w:szCs w:val="20"/>
        </w:rPr>
        <w:fldChar w:fldCharType="separate"/>
      </w:r>
      <w:r w:rsidR="0041459E" w:rsidRPr="0098279E">
        <w:rPr>
          <w:rFonts w:ascii="Times New Roman" w:hAnsi="Times New Roman" w:cs="Times New Roman"/>
          <w:noProof/>
          <w:sz w:val="20"/>
          <w:szCs w:val="20"/>
        </w:rPr>
        <w:t>(kompasiana 2024)</w:t>
      </w:r>
      <w:r w:rsidR="0041459E" w:rsidRPr="0098279E">
        <w:rPr>
          <w:rFonts w:ascii="Times New Roman" w:hAnsi="Times New Roman" w:cs="Times New Roman"/>
          <w:sz w:val="20"/>
          <w:szCs w:val="20"/>
        </w:rPr>
        <w:fldChar w:fldCharType="end"/>
      </w:r>
      <w:r w:rsidR="0098279E">
        <w:rPr>
          <w:rFonts w:ascii="Times New Roman" w:hAnsi="Times New Roman" w:cs="Times New Roman"/>
          <w:sz w:val="20"/>
          <w:szCs w:val="20"/>
        </w:rPr>
        <w:t>.</w:t>
      </w:r>
    </w:p>
    <w:p w14:paraId="4627B77B" w14:textId="1CCD8F5C" w:rsidR="0085251F" w:rsidRPr="006161AC" w:rsidRDefault="003A33C7" w:rsidP="00007546">
      <w:pPr>
        <w:pStyle w:val="ListParagraph"/>
        <w:numPr>
          <w:ilvl w:val="0"/>
          <w:numId w:val="45"/>
        </w:numPr>
        <w:spacing w:after="0" w:line="240" w:lineRule="auto"/>
        <w:jc w:val="both"/>
        <w:rPr>
          <w:rFonts w:ascii="Times New Roman" w:hAnsi="Times New Roman" w:cs="Times New Roman"/>
          <w:i/>
          <w:iCs/>
          <w:sz w:val="24"/>
          <w:szCs w:val="24"/>
        </w:rPr>
      </w:pPr>
      <w:r w:rsidRPr="006161AC">
        <w:rPr>
          <w:rFonts w:ascii="Times New Roman" w:hAnsi="Times New Roman" w:cs="Times New Roman"/>
          <w:i/>
          <w:iCs/>
          <w:sz w:val="24"/>
          <w:szCs w:val="24"/>
        </w:rPr>
        <w:t>India</w:t>
      </w:r>
    </w:p>
    <w:p w14:paraId="1AB24CE8" w14:textId="14760C80" w:rsidR="0098279E" w:rsidRPr="0098279E" w:rsidRDefault="003A33C7" w:rsidP="00007546">
      <w:pPr>
        <w:spacing w:after="0" w:line="240" w:lineRule="auto"/>
        <w:ind w:firstLine="360"/>
        <w:jc w:val="both"/>
        <w:rPr>
          <w:rFonts w:ascii="Times New Roman" w:hAnsi="Times New Roman" w:cs="Times New Roman"/>
          <w:sz w:val="20"/>
          <w:szCs w:val="20"/>
        </w:rPr>
      </w:pPr>
      <w:r w:rsidRPr="0098279E">
        <w:rPr>
          <w:rFonts w:ascii="Times New Roman" w:hAnsi="Times New Roman" w:cs="Times New Roman"/>
          <w:sz w:val="20"/>
          <w:szCs w:val="20"/>
        </w:rPr>
        <w:t xml:space="preserve">India telah mengadopsi pendekatan komprehensif untuk mencapai Tujuan Pembangunan Berkelanjutan (SDGs) melalui berbagai kebijakan dan inisiatif. Salah satu langkah penting adalah peluncuran Pradhan Mantri Jan Dhan Yojana (PMJDY), program inklusi keuangan terbesar di dunia. Melalui PMJDY, pemerintah India telah mendistribusikan dana sebesar INR 1,6 triliun (sekitar USD 25 miliar) kepada 329 juta penerima manfaat melalui Transfer Manfaat Langsung (DBT). Inisiatif ini bertujuan untuk meningkatkan efisiensi program pemerintah dan memastikan distribusi sumber daya yang lebih merata. </w:t>
      </w:r>
      <w:r w:rsidRPr="0098279E">
        <w:rPr>
          <w:rFonts w:ascii="Times New Roman" w:hAnsi="Times New Roman" w:cs="Times New Roman"/>
          <w:sz w:val="20"/>
          <w:szCs w:val="20"/>
        </w:rPr>
        <w:fldChar w:fldCharType="begin" w:fldLock="1"/>
      </w:r>
      <w:r w:rsidRPr="0098279E">
        <w:rPr>
          <w:rFonts w:ascii="Times New Roman" w:hAnsi="Times New Roman" w:cs="Times New Roman"/>
          <w:sz w:val="20"/>
          <w:szCs w:val="20"/>
        </w:rPr>
        <w:instrText xml:space="preserve">ADDIN CSL_CITATION {"citationItems":[{"id":"ITEM-1","itemData":{"abstract":"Persepsi adalah suatu proses pengenalan atau identifikasi sesuatu dengan menggunakan panca indera (Drever, 2010). persepsi merupakan inti komunikasi. Persepsi memiliki peran yang sangat penting dalam keberhasilan komunikasi. Artinya, kecermatan dalam mempersepsikan stimuli inderawi mengantarkan kepada keberhasilan komunikasi. Sebaliknya, kegagalan dalam mempersepsi stimulus, menyebabkan mis-komunikasi (Suranto, 2011)","author":[{"dropping-particle":"","family":"Asiva Noor Rachmayani","given":"","non-dropping-particle":"","parse-names":false,"suffix":""}],"id":"ITEM-1","issued":{"date-parts":[["2015"]]},"page":"6","title":"No </w:instrText>
      </w:r>
      <w:r w:rsidRPr="0098279E">
        <w:rPr>
          <w:rFonts w:ascii="Times New Roman" w:eastAsia="MS Gothic" w:hAnsi="Times New Roman" w:cs="Times New Roman"/>
          <w:sz w:val="20"/>
          <w:szCs w:val="20"/>
        </w:rPr>
        <w:instrText>主観的健康感を中心とした在宅高齢者における</w:instrText>
      </w:r>
      <w:r w:rsidRPr="0098279E">
        <w:rPr>
          <w:rFonts w:ascii="Times New Roman" w:hAnsi="Times New Roman" w:cs="Times New Roman"/>
          <w:sz w:val="20"/>
          <w:szCs w:val="20"/>
        </w:rPr>
        <w:instrText xml:space="preserve"> </w:instrText>
      </w:r>
      <w:r w:rsidRPr="0098279E">
        <w:rPr>
          <w:rFonts w:ascii="Times New Roman" w:eastAsia="MS Gothic" w:hAnsi="Times New Roman" w:cs="Times New Roman"/>
          <w:sz w:val="20"/>
          <w:szCs w:val="20"/>
        </w:rPr>
        <w:instrText>健康関連指標に関する共分散構造分析</w:instrText>
      </w:r>
      <w:r w:rsidRPr="0098279E">
        <w:rPr>
          <w:rFonts w:ascii="Times New Roman" w:hAnsi="Times New Roman" w:cs="Times New Roman"/>
          <w:sz w:val="20"/>
          <w:szCs w:val="20"/>
        </w:rPr>
        <w:instrText>Title","type":"article-journal"},"uris":["http://www.mendeley.com/documents/?uuid=c7897d46-e3ee-46c7-91d0-42f48215f135"]}],"mendeley":{"formattedCitation":"(Asiva Noor Rachmayani 2015)","plainTextFormattedCitation":"(Asiva Noor Rachmayani 2015)","previouslyFormattedCitation":"(Asiva Noor Rachmayani 2015)"},"properties":{"noteIndex":0},"schema":"https://github.com/citation-style-language/schema/raw/master/csl-citation.json"}</w:instrText>
      </w:r>
      <w:r w:rsidRPr="0098279E">
        <w:rPr>
          <w:rFonts w:ascii="Times New Roman" w:hAnsi="Times New Roman" w:cs="Times New Roman"/>
          <w:sz w:val="20"/>
          <w:szCs w:val="20"/>
        </w:rPr>
        <w:fldChar w:fldCharType="separate"/>
      </w:r>
      <w:r w:rsidRPr="0098279E">
        <w:rPr>
          <w:rFonts w:ascii="Times New Roman" w:hAnsi="Times New Roman" w:cs="Times New Roman"/>
          <w:noProof/>
          <w:sz w:val="20"/>
          <w:szCs w:val="20"/>
        </w:rPr>
        <w:t>(Asiva Noor Rachmayani 2015)</w:t>
      </w:r>
      <w:r w:rsidRPr="0098279E">
        <w:rPr>
          <w:rFonts w:ascii="Times New Roman" w:hAnsi="Times New Roman" w:cs="Times New Roman"/>
          <w:sz w:val="20"/>
          <w:szCs w:val="20"/>
        </w:rPr>
        <w:fldChar w:fldCharType="end"/>
      </w:r>
      <w:r w:rsidR="0098279E">
        <w:rPr>
          <w:rFonts w:ascii="Times New Roman" w:hAnsi="Times New Roman" w:cs="Times New Roman"/>
          <w:sz w:val="20"/>
          <w:szCs w:val="20"/>
        </w:rPr>
        <w:t>.</w:t>
      </w:r>
    </w:p>
    <w:p w14:paraId="5FB17AF6" w14:textId="398DEAD0" w:rsidR="003A33C7" w:rsidRPr="0098279E" w:rsidRDefault="003A33C7" w:rsidP="00007546">
      <w:pPr>
        <w:spacing w:line="240" w:lineRule="auto"/>
        <w:ind w:firstLine="360"/>
        <w:jc w:val="both"/>
        <w:rPr>
          <w:rFonts w:ascii="Times New Roman" w:hAnsi="Times New Roman" w:cs="Times New Roman"/>
          <w:sz w:val="20"/>
          <w:szCs w:val="20"/>
        </w:rPr>
      </w:pPr>
      <w:r w:rsidRPr="0098279E">
        <w:rPr>
          <w:rFonts w:ascii="Times New Roman" w:hAnsi="Times New Roman" w:cs="Times New Roman"/>
          <w:sz w:val="20"/>
          <w:szCs w:val="20"/>
        </w:rPr>
        <w:t>Selain itu, India telah mengembangkan Indeks SDG India untuk memantau kemajuan dalam mencapai SDGs. Indeks ini mencakup 17 tujuan dan 169 target, dengan tujuan untuk mengidentifikasi area yang memerlukan perhatian lebih dan memastikan bahwa tidak ada yang tertinggal dalam proses pembangunan.  Melalui kebijakan moneter dan fiskal yang terkoordinasi, India berupaya memastikan bahwa alokasi sumber daya mendukung pencapaian SDGs, dengan fokus pada inklusi keuangan, pengurangan kemiskinan, dan pembangunan berkelanjutan.</w:t>
      </w:r>
      <w:r w:rsidRPr="0098279E">
        <w:rPr>
          <w:rFonts w:ascii="Times New Roman" w:hAnsi="Times New Roman" w:cs="Times New Roman"/>
          <w:sz w:val="20"/>
          <w:szCs w:val="20"/>
        </w:rPr>
        <w:fldChar w:fldCharType="begin" w:fldLock="1"/>
      </w:r>
      <w:r w:rsidRPr="0098279E">
        <w:rPr>
          <w:rFonts w:ascii="Times New Roman" w:hAnsi="Times New Roman" w:cs="Times New Roman"/>
          <w:sz w:val="20"/>
          <w:szCs w:val="20"/>
        </w:rPr>
        <w:instrText>ADDIN CSL_CITATION {"citationItems":[{"id":"ITEM-1","itemData":{"id":"ITEM-1","issued":{"date-parts":[["0"]]},"title":"SDG_India_Index_2023-24.pdf","type":"article"},"uris":["http://www.mendeley.com/documents/?uuid=0b259e87-7888-411f-8eaa-12a798f43382"]}],"mendeley":{"formattedCitation":"(Anon n.d.-a)","plainTextFormattedCitation":"(Anon n.d.-a)"},"properties":{"noteIndex":0},"schema":"https://github.com/citation-style-language/schema/raw/master/csl-citation.json"}</w:instrText>
      </w:r>
      <w:r w:rsidRPr="0098279E">
        <w:rPr>
          <w:rFonts w:ascii="Times New Roman" w:hAnsi="Times New Roman" w:cs="Times New Roman"/>
          <w:sz w:val="20"/>
          <w:szCs w:val="20"/>
        </w:rPr>
        <w:fldChar w:fldCharType="separate"/>
      </w:r>
      <w:r w:rsidRPr="0098279E">
        <w:rPr>
          <w:rFonts w:ascii="Times New Roman" w:hAnsi="Times New Roman" w:cs="Times New Roman"/>
          <w:noProof/>
          <w:sz w:val="20"/>
          <w:szCs w:val="20"/>
        </w:rPr>
        <w:t>(Anon n.d.-a)</w:t>
      </w:r>
      <w:r w:rsidRPr="0098279E">
        <w:rPr>
          <w:rFonts w:ascii="Times New Roman" w:hAnsi="Times New Roman" w:cs="Times New Roman"/>
          <w:sz w:val="20"/>
          <w:szCs w:val="20"/>
        </w:rPr>
        <w:fldChar w:fldCharType="end"/>
      </w:r>
      <w:r w:rsidR="0098279E">
        <w:rPr>
          <w:rFonts w:ascii="Times New Roman" w:hAnsi="Times New Roman" w:cs="Times New Roman"/>
          <w:sz w:val="20"/>
          <w:szCs w:val="20"/>
        </w:rPr>
        <w:t>.</w:t>
      </w:r>
    </w:p>
    <w:p w14:paraId="03F4AF3E" w14:textId="0F205E70" w:rsidR="0041459E" w:rsidRPr="006161AC" w:rsidRDefault="0041459E" w:rsidP="00007546">
      <w:pPr>
        <w:pStyle w:val="ListParagraph"/>
        <w:numPr>
          <w:ilvl w:val="0"/>
          <w:numId w:val="45"/>
        </w:numPr>
        <w:spacing w:after="0" w:line="240" w:lineRule="auto"/>
        <w:jc w:val="both"/>
        <w:rPr>
          <w:rFonts w:ascii="Times New Roman" w:hAnsi="Times New Roman" w:cs="Times New Roman"/>
          <w:i/>
          <w:iCs/>
          <w:sz w:val="24"/>
          <w:szCs w:val="24"/>
        </w:rPr>
      </w:pPr>
      <w:r w:rsidRPr="006161AC">
        <w:rPr>
          <w:rFonts w:ascii="Times New Roman" w:hAnsi="Times New Roman" w:cs="Times New Roman"/>
          <w:i/>
          <w:iCs/>
          <w:sz w:val="24"/>
          <w:szCs w:val="24"/>
        </w:rPr>
        <w:t>Indonesia.</w:t>
      </w:r>
    </w:p>
    <w:p w14:paraId="663C38FF" w14:textId="0100ED19" w:rsidR="0098279E" w:rsidRPr="0098279E" w:rsidRDefault="00FA3F1C" w:rsidP="00007546">
      <w:pPr>
        <w:spacing w:after="0" w:line="240" w:lineRule="auto"/>
        <w:ind w:firstLine="360"/>
        <w:jc w:val="both"/>
        <w:rPr>
          <w:rFonts w:ascii="Times New Roman" w:hAnsi="Times New Roman" w:cs="Times New Roman"/>
          <w:sz w:val="20"/>
          <w:szCs w:val="20"/>
        </w:rPr>
      </w:pPr>
      <w:r w:rsidRPr="0098279E">
        <w:rPr>
          <w:rFonts w:ascii="Times New Roman" w:hAnsi="Times New Roman" w:cs="Times New Roman"/>
          <w:sz w:val="20"/>
          <w:szCs w:val="20"/>
        </w:rPr>
        <w:t xml:space="preserve">Indonesia menerapkan berbagai kebijakan moneter dan fiskal untuk mencapai Tujuan Pembangunan Berkelanjutan (SDGs). Bank Indonesia (BI) berperan aktif dalam mendorong inklusi keuangan dan pengembangan ekonomi digital. Salah satu inisiatifnya adalah memperkuat kolaborasi antara otoritas moneter dan sektor keuangan melalui transisi dari sistem konvensional ke arah digitalisasi. Langkah ini bertujuan meningkatkan akses masyarakat terhadap layanan keuangan, yang sejalan dengan pencapaian SDGs. </w:t>
      </w:r>
      <w:r w:rsidR="00470A55" w:rsidRPr="0098279E">
        <w:rPr>
          <w:rFonts w:ascii="Times New Roman" w:hAnsi="Times New Roman" w:cs="Times New Roman"/>
          <w:sz w:val="20"/>
          <w:szCs w:val="20"/>
        </w:rPr>
        <w:fldChar w:fldCharType="begin" w:fldLock="1"/>
      </w:r>
      <w:r w:rsidR="004A4BDE" w:rsidRPr="0098279E">
        <w:rPr>
          <w:rFonts w:ascii="Times New Roman" w:hAnsi="Times New Roman" w:cs="Times New Roman"/>
          <w:sz w:val="20"/>
          <w:szCs w:val="20"/>
        </w:rPr>
        <w:instrText>ADDIN CSL_CITATION {"citationItems":[{"id":"ITEM-1","itemData":{"URL":"https://www.ui.ac.id/lima-hal-penting-dalam-kebijakan-moneter-dan-keuangan-menuju-indonesia-emas-2045/?utm_source=chatgpt.com","author":[{"dropping-particle":"","family":"universitas indinesia","given":"","non-dropping-particle":"","parse-names":false,"suffix":""}],"container-title":"universitas indinesia","id":"ITEM-1","issued":{"date-parts":[["2023"]]},"title":"Lima Hal Penting dalam Kebijakan Moneter dan Keuangan Menuju Indonesia Emas 2045","type":"webpage"},"uris":["http://www.mendeley.com/documents/?uuid=51419dff-08b6-464f-b756-95d87aa7a972"]}],"mendeley":{"formattedCitation":"(universitas indinesia 2023)","plainTextFormattedCitation":"(universitas indinesia 2023)","previouslyFormattedCitation":"(universitas indinesia 2023)"},"properties":{"noteIndex":0},"schema":"https://github.com/citation-style-language/schema/raw/master/csl-citation.json"}</w:instrText>
      </w:r>
      <w:r w:rsidR="00470A55" w:rsidRPr="0098279E">
        <w:rPr>
          <w:rFonts w:ascii="Times New Roman" w:hAnsi="Times New Roman" w:cs="Times New Roman"/>
          <w:sz w:val="20"/>
          <w:szCs w:val="20"/>
        </w:rPr>
        <w:fldChar w:fldCharType="separate"/>
      </w:r>
      <w:r w:rsidR="00470A55" w:rsidRPr="0098279E">
        <w:rPr>
          <w:rFonts w:ascii="Times New Roman" w:hAnsi="Times New Roman" w:cs="Times New Roman"/>
          <w:noProof/>
          <w:sz w:val="20"/>
          <w:szCs w:val="20"/>
        </w:rPr>
        <w:t>(universitas indinesia 2023)</w:t>
      </w:r>
      <w:r w:rsidR="00470A55" w:rsidRPr="0098279E">
        <w:rPr>
          <w:rFonts w:ascii="Times New Roman" w:hAnsi="Times New Roman" w:cs="Times New Roman"/>
          <w:sz w:val="20"/>
          <w:szCs w:val="20"/>
        </w:rPr>
        <w:fldChar w:fldCharType="end"/>
      </w:r>
      <w:r w:rsidR="0098279E" w:rsidRPr="0098279E">
        <w:rPr>
          <w:rFonts w:ascii="Times New Roman" w:hAnsi="Times New Roman" w:cs="Times New Roman"/>
          <w:sz w:val="20"/>
          <w:szCs w:val="20"/>
        </w:rPr>
        <w:t>.</w:t>
      </w:r>
    </w:p>
    <w:p w14:paraId="2B5704DB" w14:textId="77777777" w:rsidR="008B2C24" w:rsidRDefault="00470A55" w:rsidP="00007546">
      <w:pPr>
        <w:spacing w:after="0" w:line="240" w:lineRule="auto"/>
        <w:ind w:firstLine="360"/>
        <w:jc w:val="both"/>
        <w:rPr>
          <w:rFonts w:ascii="Times New Roman" w:hAnsi="Times New Roman" w:cs="Times New Roman"/>
          <w:sz w:val="20"/>
          <w:szCs w:val="20"/>
        </w:rPr>
      </w:pPr>
      <w:r w:rsidRPr="0098279E">
        <w:rPr>
          <w:rFonts w:ascii="Times New Roman" w:hAnsi="Times New Roman" w:cs="Times New Roman"/>
          <w:sz w:val="20"/>
          <w:szCs w:val="20"/>
        </w:rPr>
        <w:t>Selain itu, pemerintah Indonesia mendorong inovasi pendanaan untuk SDGs melalui berbagai instrumen keuangan. Salah satu upayanya adalah penerbitan dan persyaratan efek bersifat utang dan sukuk berlandaskan keberlanjutan, yang diatur dalam Peraturan Otoritas Jasa Keuangan Nomor 18 Tahun 2023. Kebijakan ini bertujuan menghindari praktik "SDG washing" atau "greenwashing" dan memastikan bahwa pendanaan yang dihimpun benar-benar digunakan untuk proyek-proyek yang mendukung pencapaian SDGs. melalui kombinasi kebijakan moneter yang adaptif dan inovasi pendanaan, Indonesia berupaya memastikan bahwa sistem keuangannya mendukung pencapaian SDGs dan pertumbuhan ekonomi yang berkelanjutan.</w:t>
      </w:r>
      <w:r w:rsidR="004A4BDE" w:rsidRPr="0098279E">
        <w:rPr>
          <w:rFonts w:ascii="Times New Roman" w:hAnsi="Times New Roman" w:cs="Times New Roman"/>
          <w:sz w:val="20"/>
          <w:szCs w:val="20"/>
        </w:rPr>
        <w:t xml:space="preserve"> </w:t>
      </w:r>
      <w:r w:rsidR="004A4BDE" w:rsidRPr="0098279E">
        <w:rPr>
          <w:rFonts w:ascii="Times New Roman" w:hAnsi="Times New Roman" w:cs="Times New Roman"/>
          <w:sz w:val="20"/>
          <w:szCs w:val="20"/>
        </w:rPr>
        <w:fldChar w:fldCharType="begin" w:fldLock="1"/>
      </w:r>
      <w:r w:rsidR="003A33C7" w:rsidRPr="0098279E">
        <w:rPr>
          <w:rFonts w:ascii="Times New Roman" w:hAnsi="Times New Roman" w:cs="Times New Roman"/>
          <w:sz w:val="20"/>
          <w:szCs w:val="20"/>
        </w:rPr>
        <w:instrText>ADDIN CSL_CITATION {"citationItems":[{"id":"ITEM-1","itemData":{"URL":"https://mediakeuangan.kemenkeu.go.id/article/show/dorong-inovasi-pendanaan-sdgs-2030-ini-upaya-pemerintah?utm_source=chatgpt.com","author":[{"dropping-particle":"","family":"Purwowidhu","given":"CS","non-dropping-particle":"","parse-names":false,"suffix":""}],"container-title":"MediaKeuangan","id":"ITEM-1","issued":{"date-parts":[["2024"]]},"title":"Dorong Inovasi Pendanaan SDGs 2030, Ini Upaya Pemerintah","type":"webpage"},"uris":["http://www.mendeley.com/documents/?uuid=f669fa63-b08d-4db7-9c36-d71bd164a2f6"]}],"mendeley":{"formattedCitation":"(Purwowidhu 2024)","plainTextFormattedCitation":"(Purwowidhu 2024)","previouslyFormattedCitation":"(Purwowidhu 2024)"},"properties":{"noteIndex":0},"schema":"https://github.com/citation-style-language/schema/raw/master/csl-citation.json"}</w:instrText>
      </w:r>
      <w:r w:rsidR="004A4BDE" w:rsidRPr="0098279E">
        <w:rPr>
          <w:rFonts w:ascii="Times New Roman" w:hAnsi="Times New Roman" w:cs="Times New Roman"/>
          <w:sz w:val="20"/>
          <w:szCs w:val="20"/>
        </w:rPr>
        <w:fldChar w:fldCharType="separate"/>
      </w:r>
      <w:r w:rsidR="004A4BDE" w:rsidRPr="0098279E">
        <w:rPr>
          <w:rFonts w:ascii="Times New Roman" w:hAnsi="Times New Roman" w:cs="Times New Roman"/>
          <w:noProof/>
          <w:sz w:val="20"/>
          <w:szCs w:val="20"/>
        </w:rPr>
        <w:t>(Purwowidhu 2024)</w:t>
      </w:r>
      <w:r w:rsidR="004A4BDE" w:rsidRPr="0098279E">
        <w:rPr>
          <w:rFonts w:ascii="Times New Roman" w:hAnsi="Times New Roman" w:cs="Times New Roman"/>
          <w:sz w:val="20"/>
          <w:szCs w:val="20"/>
        </w:rPr>
        <w:fldChar w:fldCharType="end"/>
      </w:r>
      <w:r w:rsidR="0098279E" w:rsidRPr="0098279E">
        <w:rPr>
          <w:rFonts w:ascii="Times New Roman" w:hAnsi="Times New Roman" w:cs="Times New Roman"/>
          <w:sz w:val="20"/>
          <w:szCs w:val="20"/>
        </w:rPr>
        <w:t>.</w:t>
      </w:r>
    </w:p>
    <w:p w14:paraId="5721AB93" w14:textId="4C3F16B5" w:rsidR="0098279E" w:rsidRPr="0098279E" w:rsidRDefault="003A33C7" w:rsidP="00007546">
      <w:pPr>
        <w:spacing w:after="0" w:line="240" w:lineRule="auto"/>
        <w:ind w:firstLine="360"/>
        <w:jc w:val="both"/>
        <w:rPr>
          <w:rFonts w:ascii="Times New Roman" w:hAnsi="Times New Roman" w:cs="Times New Roman"/>
          <w:sz w:val="20"/>
          <w:szCs w:val="20"/>
        </w:rPr>
      </w:pPr>
      <w:r w:rsidRPr="0098279E">
        <w:rPr>
          <w:rFonts w:ascii="Times New Roman" w:hAnsi="Times New Roman" w:cs="Times New Roman"/>
          <w:sz w:val="20"/>
          <w:szCs w:val="20"/>
        </w:rPr>
        <w:t xml:space="preserve">Bank syariah sebagai lembaga intermediari penghimpun dan penyaluran dana, dapat berkontribusi untuk SDGs (Soemitra, 2018). Melalui pembiayaan produktif yang dimiliki bank syariah dapat membantu nasabah untuk </w:t>
      </w:r>
      <w:r w:rsidRPr="0098279E">
        <w:rPr>
          <w:rFonts w:ascii="Times New Roman" w:hAnsi="Times New Roman" w:cs="Times New Roman"/>
          <w:sz w:val="20"/>
          <w:szCs w:val="20"/>
        </w:rPr>
        <w:lastRenderedPageBreak/>
        <w:t>mendapatkan modal usaha dengan akad bagi hasil, khususnya untuk Usaha Kecil Mikro dan Menengah.Selanjutnya melalui Industri Keuangan Non-Bank Syariah (IKNB Syariah) dapat berkontribusi untuk SDGs. Dari berbagai produk IKNB Syariah masyarakat dapat memperoleh akses keuangan yang berbasis syariah dengan mudah, msyarakat dapat memperoleh penambahan modal dan menggunakan akses investasi.</w:t>
      </w:r>
      <w:r w:rsidRPr="0098279E">
        <w:rPr>
          <w:rFonts w:ascii="Times New Roman" w:hAnsi="Times New Roman" w:cs="Times New Roman"/>
          <w:sz w:val="20"/>
          <w:szCs w:val="20"/>
        </w:rPr>
        <w:fldChar w:fldCharType="begin" w:fldLock="1"/>
      </w:r>
      <w:r w:rsidRPr="0098279E">
        <w:rPr>
          <w:rFonts w:ascii="Times New Roman" w:hAnsi="Times New Roman" w:cs="Times New Roman"/>
          <w:sz w:val="20"/>
          <w:szCs w:val="20"/>
        </w:rPr>
        <w:instrText>ADDIN CSL_CITATION {"citationItems":[{"id":"ITEM-1","itemData":{"DOI":"10.15294/islrev.v2i2.38472","ISSN":"2654-3125","abstract":"Environmental problems are increasing every day. This results in a decrease in the carrying capacity of the environment. Population growth also puts a burden on the carrying capacity of the environment. To improve the quality of carrying capacity, it is necessary to implement the principle of sustainable development. With the implementation of sustainable development principles that balance economic, social and environmental aspects, the quality of the carrying capacity of the environment will be better so that the availability of natural resources for future generations will be guaranteed.","author":[{"dropping-particle":"","family":"Cahyani","given":"Ferina Ardhi","non-dropping-particle":"","parse-names":false,"suffix":""}],"container-title":"Indonesian State Law Review (ISLRev)","id":"ITEM-1","issue":"2","issued":{"date-parts":[["2020"]]},"page":"168-179","title":"Upaya Peningkatan Daya Dukung Lingkungan Melalui Penerapan Prinsip Sustainable Development Berdasarkan Undang-Undang Nomor 32 Tahun 2009 tentang Perlindungan dan Pengelolaan Lingkungan Hidup","type":"article-journal","volume":"2"},"uris":["http://www.mendeley.com/documents/?uuid=f67de4a4-60fb-4d12-805e-9072c502f2ea"]}],"mendeley":{"formattedCitation":"(Cahyani 2020)","plainTextFormattedCitation":"(Cahyani 2020)","previouslyFormattedCitation":"(Cahyani 2020)"},"properties":{"noteIndex":0},"schema":"https://github.com/citation-style-language/schema/raw/master/csl-citation.json"}</w:instrText>
      </w:r>
      <w:r w:rsidRPr="0098279E">
        <w:rPr>
          <w:rFonts w:ascii="Times New Roman" w:hAnsi="Times New Roman" w:cs="Times New Roman"/>
          <w:sz w:val="20"/>
          <w:szCs w:val="20"/>
        </w:rPr>
        <w:fldChar w:fldCharType="separate"/>
      </w:r>
      <w:r w:rsidRPr="0098279E">
        <w:rPr>
          <w:rFonts w:ascii="Times New Roman" w:hAnsi="Times New Roman" w:cs="Times New Roman"/>
          <w:noProof/>
          <w:sz w:val="20"/>
          <w:szCs w:val="20"/>
        </w:rPr>
        <w:t>(Cahyani 2020)</w:t>
      </w:r>
      <w:r w:rsidRPr="0098279E">
        <w:rPr>
          <w:rFonts w:ascii="Times New Roman" w:hAnsi="Times New Roman" w:cs="Times New Roman"/>
          <w:sz w:val="20"/>
          <w:szCs w:val="20"/>
        </w:rPr>
        <w:fldChar w:fldCharType="end"/>
      </w:r>
      <w:r w:rsidR="0098279E" w:rsidRPr="0098279E">
        <w:rPr>
          <w:rFonts w:ascii="Times New Roman" w:hAnsi="Times New Roman" w:cs="Times New Roman"/>
          <w:sz w:val="20"/>
          <w:szCs w:val="20"/>
        </w:rPr>
        <w:t>.</w:t>
      </w:r>
    </w:p>
    <w:p w14:paraId="40EFFCB1" w14:textId="4738BCE0" w:rsidR="00173854" w:rsidRPr="0098279E" w:rsidRDefault="003A33C7" w:rsidP="00007546">
      <w:pPr>
        <w:spacing w:line="240" w:lineRule="auto"/>
        <w:ind w:firstLine="360"/>
        <w:jc w:val="both"/>
        <w:rPr>
          <w:rFonts w:ascii="Times New Roman" w:hAnsi="Times New Roman" w:cs="Times New Roman"/>
          <w:sz w:val="20"/>
          <w:szCs w:val="20"/>
        </w:rPr>
      </w:pPr>
      <w:r w:rsidRPr="0098279E">
        <w:rPr>
          <w:rFonts w:ascii="Times New Roman" w:hAnsi="Times New Roman" w:cs="Times New Roman"/>
          <w:sz w:val="20"/>
          <w:szCs w:val="20"/>
        </w:rPr>
        <w:t>Peran lembaga sosial dalam menghipun dan sosial zakat, infaq, shadaqah,wakaf dan instrumen dan sosial lainnya sangat mendukung untuk terwujudnya SDGs.Melalui lembaga sosial pendistribusian kekayaan dapat tercapai, bagian upaya untukmengatasi kemiskinan, serta pemerataan pedapatan. Wujud adanya kepeduliankepada sesama ummat manusia. Ekonomi Islam dengan seperangkatnya khususnya lembaga keuangan ekonomi Islam memiliki kesamaan dengan SDGs untuk mencapai kesejahteraan bagi seluruh rakyat Indonesia.</w:t>
      </w:r>
      <w:r w:rsidRPr="0098279E">
        <w:rPr>
          <w:rFonts w:ascii="Times New Roman" w:hAnsi="Times New Roman" w:cs="Times New Roman"/>
          <w:sz w:val="20"/>
          <w:szCs w:val="20"/>
        </w:rPr>
        <w:fldChar w:fldCharType="begin" w:fldLock="1"/>
      </w:r>
      <w:r w:rsidRPr="0098279E">
        <w:rPr>
          <w:rFonts w:ascii="Times New Roman" w:hAnsi="Times New Roman" w:cs="Times New Roman"/>
          <w:sz w:val="20"/>
          <w:szCs w:val="20"/>
        </w:rPr>
        <w:instrText>ADDIN CSL_CITATION {"citationItems":[{"id":"ITEM-1","itemData":{"DOI":"10.15294/islrev.v2i2.38472","ISSN":"2654-3125","abstract":"Environmental problems are increasing every day. This results in a decrease in the carrying capacity of the environment. Population growth also puts a burden on the carrying capacity of the environment. To improve the quality of carrying capacity, it is necessary to implement the principle of sustainable development. With the implementation of sustainable development principles that balance economic, social and environmental aspects, the quality of the carrying capacity of the environment will be better so that the availability of natural resources for future generations will be guaranteed.","author":[{"dropping-particle":"","family":"Cahyani","given":"Ferina Ardhi","non-dropping-particle":"","parse-names":false,"suffix":""}],"container-title":"Indonesian State Law Review (ISLRev)","id":"ITEM-1","issue":"2","issued":{"date-parts":[["2020"]]},"page":"168-179","title":"Upaya Peningkatan Daya Dukung Lingkungan Melalui Penerapan Prinsip Sustainable Development Berdasarkan Undang-Undang Nomor 32 Tahun 2009 tentang Perlindungan dan Pengelolaan Lingkungan Hidup","type":"article-journal","volume":"2"},"uris":["http://www.mendeley.com/documents/?uuid=f67de4a4-60fb-4d12-805e-9072c502f2ea"]}],"mendeley":{"formattedCitation":"(Cahyani 2020)","plainTextFormattedCitation":"(Cahyani 2020)","previouslyFormattedCitation":"(Cahyani 2020)"},"properties":{"noteIndex":0},"schema":"https://github.com/citation-style-language/schema/raw/master/csl-citation.json"}</w:instrText>
      </w:r>
      <w:r w:rsidRPr="0098279E">
        <w:rPr>
          <w:rFonts w:ascii="Times New Roman" w:hAnsi="Times New Roman" w:cs="Times New Roman"/>
          <w:sz w:val="20"/>
          <w:szCs w:val="20"/>
        </w:rPr>
        <w:fldChar w:fldCharType="separate"/>
      </w:r>
      <w:r w:rsidRPr="0098279E">
        <w:rPr>
          <w:rFonts w:ascii="Times New Roman" w:hAnsi="Times New Roman" w:cs="Times New Roman"/>
          <w:noProof/>
          <w:sz w:val="20"/>
          <w:szCs w:val="20"/>
        </w:rPr>
        <w:t>(Cahyani 2020)</w:t>
      </w:r>
      <w:r w:rsidRPr="0098279E">
        <w:rPr>
          <w:rFonts w:ascii="Times New Roman" w:hAnsi="Times New Roman" w:cs="Times New Roman"/>
          <w:sz w:val="20"/>
          <w:szCs w:val="20"/>
        </w:rPr>
        <w:fldChar w:fldCharType="end"/>
      </w:r>
      <w:r w:rsidR="0098279E" w:rsidRPr="0098279E">
        <w:rPr>
          <w:rFonts w:ascii="Times New Roman" w:hAnsi="Times New Roman" w:cs="Times New Roman"/>
          <w:sz w:val="20"/>
          <w:szCs w:val="20"/>
        </w:rPr>
        <w:t>.</w:t>
      </w:r>
    </w:p>
    <w:p w14:paraId="5B32CEEA" w14:textId="77777777" w:rsidR="0098279E" w:rsidRDefault="006C175D" w:rsidP="00007546">
      <w:pPr>
        <w:spacing w:line="240" w:lineRule="auto"/>
        <w:jc w:val="both"/>
        <w:rPr>
          <w:rFonts w:ascii="Times New Roman" w:hAnsi="Times New Roman" w:cs="Times New Roman"/>
          <w:b/>
          <w:bCs/>
          <w:sz w:val="24"/>
          <w:szCs w:val="24"/>
        </w:rPr>
      </w:pPr>
      <w:r w:rsidRPr="004A4DD1">
        <w:rPr>
          <w:rFonts w:ascii="Times New Roman" w:hAnsi="Times New Roman" w:cs="Times New Roman"/>
          <w:b/>
          <w:bCs/>
          <w:sz w:val="24"/>
          <w:szCs w:val="24"/>
        </w:rPr>
        <w:t>Kesimpulan</w:t>
      </w:r>
    </w:p>
    <w:p w14:paraId="3B3FFFA8" w14:textId="77777777" w:rsidR="0098279E" w:rsidRPr="0098279E" w:rsidRDefault="004A4DD1" w:rsidP="00007546">
      <w:pPr>
        <w:spacing w:after="0" w:line="240" w:lineRule="auto"/>
        <w:ind w:firstLine="360"/>
        <w:jc w:val="both"/>
        <w:rPr>
          <w:rFonts w:ascii="Times New Roman" w:hAnsi="Times New Roman" w:cs="Times New Roman"/>
          <w:b/>
          <w:bCs/>
          <w:sz w:val="20"/>
          <w:szCs w:val="20"/>
        </w:rPr>
      </w:pPr>
      <w:r w:rsidRPr="0098279E">
        <w:rPr>
          <w:rFonts w:ascii="Times New Roman" w:hAnsi="Times New Roman" w:cs="Times New Roman"/>
          <w:sz w:val="20"/>
          <w:szCs w:val="20"/>
        </w:rPr>
        <w:t>Kebijakan sistem  moneter Islam memiliki potensi besar untuk mendukung pembangunan ekonomi berkelanjutan sejalan dengan Tujuan Pembangunan Berkelanjutan (SDGs). Prinsip-prinsip utama seperti keadilan distributif, larangan bunga (riba), dan pengelolaan zakat dan wakaf mendorong inklusi ekonomi, mengurangi kesenjangan, dan meningkatkan kesejahteraan sosial. Sistem ini menekankan transaksi berdasarkan aset riil, yang mengarah pada stabilitas keuangan dan mengurangi risiko spekulatif yang umum dalam sistem ekonomi tradisional.</w:t>
      </w:r>
    </w:p>
    <w:p w14:paraId="312F34C6" w14:textId="77777777" w:rsidR="0098279E" w:rsidRPr="0098279E" w:rsidRDefault="004A4DD1" w:rsidP="00007546">
      <w:pPr>
        <w:spacing w:after="0" w:line="240" w:lineRule="auto"/>
        <w:ind w:firstLine="360"/>
        <w:jc w:val="both"/>
        <w:rPr>
          <w:rFonts w:ascii="Times New Roman" w:hAnsi="Times New Roman" w:cs="Times New Roman"/>
          <w:b/>
          <w:bCs/>
          <w:sz w:val="20"/>
          <w:szCs w:val="20"/>
        </w:rPr>
      </w:pPr>
      <w:r w:rsidRPr="0098279E">
        <w:rPr>
          <w:rFonts w:ascii="Times New Roman" w:hAnsi="Times New Roman" w:cs="Times New Roman"/>
          <w:sz w:val="20"/>
          <w:szCs w:val="20"/>
        </w:rPr>
        <w:t>Integrasi kebijakan keuangan Islam ke dalam SDGs akan memerlukan penguatan sektor keuangan berbasis Syariah, termasuk melalui sukuk hijau  untuk mendanai proyek-proyek ramah lingkungan,  dan melalui penciptaan lembaga keuangan baru untuk mengatasi kemiskinan dan meningkatkan pendidikan publik dan perlindungan sosial. Hal ini dapat dapat dicapai dengan mengoptimalkan Zakat dan Wakaf demi kebaikan bersama. Kesehatan. Dengan  kebijakan yang tepat, sistem ekonomi moneter Islam dapat menjadi alat strategis untuk mencapai pembangunan  yang lebih adil, inklusif, dan berkelanjutan.</w:t>
      </w:r>
    </w:p>
    <w:p w14:paraId="3A107589" w14:textId="7A4D85F9" w:rsidR="0098279E" w:rsidRPr="008B2C24" w:rsidRDefault="004A4DD1" w:rsidP="00007546">
      <w:pPr>
        <w:spacing w:line="240" w:lineRule="auto"/>
        <w:ind w:firstLine="360"/>
        <w:jc w:val="both"/>
        <w:rPr>
          <w:rFonts w:ascii="Times New Roman" w:hAnsi="Times New Roman" w:cs="Times New Roman"/>
          <w:sz w:val="20"/>
          <w:szCs w:val="20"/>
        </w:rPr>
      </w:pPr>
      <w:r w:rsidRPr="0098279E">
        <w:rPr>
          <w:rFonts w:ascii="Times New Roman" w:hAnsi="Times New Roman" w:cs="Times New Roman"/>
          <w:sz w:val="20"/>
          <w:szCs w:val="20"/>
        </w:rPr>
        <w:t>Namun, keberhasilan akan memerlukan komitmen  pemerintah, lembaga keuangan, dan masyarakat luas, serta sinergi  kebijakan moneter dan fiskal berbasis Syariah dengan tujuan pembangunan global. Mengintegrasikan nilai-nilai Islam ke dalam kebijakan pembangunan berkelanjutan memiliki potensi  besar untuk menciptakan keselarasan antara pertumbuhan ekonomi, kesejahteraan sosial, dan keberlanjutan </w:t>
      </w:r>
      <w:r w:rsidR="0098279E">
        <w:rPr>
          <w:rFonts w:ascii="Times New Roman" w:hAnsi="Times New Roman" w:cs="Times New Roman"/>
          <w:sz w:val="20"/>
          <w:szCs w:val="20"/>
        </w:rPr>
        <w:t>t</w:t>
      </w:r>
      <w:r w:rsidRPr="0098279E">
        <w:rPr>
          <w:rFonts w:ascii="Times New Roman" w:hAnsi="Times New Roman" w:cs="Times New Roman"/>
          <w:sz w:val="20"/>
          <w:szCs w:val="20"/>
        </w:rPr>
        <w:t>ek</w:t>
      </w:r>
      <w:r w:rsidR="0098279E">
        <w:rPr>
          <w:rFonts w:ascii="Times New Roman" w:hAnsi="Times New Roman" w:cs="Times New Roman"/>
          <w:sz w:val="20"/>
          <w:szCs w:val="20"/>
        </w:rPr>
        <w:t>n</w:t>
      </w:r>
      <w:r w:rsidRPr="0098279E">
        <w:rPr>
          <w:rFonts w:ascii="Times New Roman" w:hAnsi="Times New Roman" w:cs="Times New Roman"/>
          <w:sz w:val="20"/>
          <w:szCs w:val="20"/>
        </w:rPr>
        <w:t>ologi.</w:t>
      </w:r>
    </w:p>
    <w:p w14:paraId="1BA04F6F" w14:textId="2668D277" w:rsidR="00C6734A" w:rsidRPr="0098279E" w:rsidRDefault="004A4DD1" w:rsidP="0098279E">
      <w:pPr>
        <w:rPr>
          <w:rFonts w:ascii="Times New Roman" w:hAnsi="Times New Roman" w:cs="Times New Roman"/>
          <w:b/>
          <w:bCs/>
          <w:sz w:val="24"/>
          <w:szCs w:val="24"/>
        </w:rPr>
      </w:pPr>
      <w:r w:rsidRPr="0098279E">
        <w:rPr>
          <w:rFonts w:ascii="Times New Roman" w:hAnsi="Times New Roman" w:cs="Times New Roman"/>
          <w:b/>
          <w:bCs/>
          <w:sz w:val="24"/>
          <w:szCs w:val="24"/>
        </w:rPr>
        <w:t>Daftar Pustaka</w:t>
      </w:r>
    </w:p>
    <w:p w14:paraId="08DCA1A0" w14:textId="77777777" w:rsidR="00B211A1" w:rsidRDefault="00B211A1" w:rsidP="0098279E">
      <w:pPr>
        <w:spacing w:line="240" w:lineRule="auto"/>
        <w:ind w:left="720" w:hanging="720"/>
        <w:jc w:val="both"/>
        <w:rPr>
          <w:rFonts w:ascii="Times New Roman" w:hAnsi="Times New Roman" w:cs="Times New Roman"/>
          <w:b/>
        </w:rPr>
      </w:pPr>
      <w:r w:rsidRPr="00BB546E">
        <w:rPr>
          <w:rFonts w:ascii="Times New Roman" w:hAnsi="Times New Roman" w:cs="Times New Roman"/>
          <w:noProof/>
          <w:kern w:val="0"/>
          <w:sz w:val="20"/>
          <w:szCs w:val="20"/>
        </w:rPr>
        <w:t xml:space="preserve">Afifah, Yasmin. 2023. “Menggali Konsep Riba Dan Implikasinya Dalam Pertumbuhan Perekonomian Umat.” </w:t>
      </w:r>
      <w:r w:rsidRPr="00BB546E">
        <w:rPr>
          <w:rFonts w:ascii="Times New Roman" w:hAnsi="Times New Roman" w:cs="Times New Roman"/>
          <w:i/>
          <w:iCs/>
          <w:noProof/>
          <w:kern w:val="0"/>
          <w:sz w:val="20"/>
          <w:szCs w:val="20"/>
        </w:rPr>
        <w:t>Jurnal Ilmiah Ekonomi Dan Manajemen</w:t>
      </w:r>
      <w:r w:rsidRPr="00BB546E">
        <w:rPr>
          <w:rFonts w:ascii="Times New Roman" w:hAnsi="Times New Roman" w:cs="Times New Roman"/>
          <w:noProof/>
          <w:kern w:val="0"/>
          <w:sz w:val="20"/>
          <w:szCs w:val="20"/>
        </w:rPr>
        <w:t xml:space="preserve"> 1(2):151–61.</w:t>
      </w:r>
    </w:p>
    <w:p w14:paraId="13313A0A" w14:textId="77777777" w:rsidR="00B211A1" w:rsidRPr="00BB546E" w:rsidRDefault="00B211A1" w:rsidP="0098279E">
      <w:pPr>
        <w:widowControl w:val="0"/>
        <w:autoSpaceDE w:val="0"/>
        <w:autoSpaceDN w:val="0"/>
        <w:adjustRightInd w:val="0"/>
        <w:spacing w:line="240" w:lineRule="auto"/>
        <w:ind w:left="720" w:hanging="720"/>
        <w:jc w:val="both"/>
        <w:rPr>
          <w:rFonts w:ascii="Times New Roman" w:hAnsi="Times New Roman" w:cs="Times New Roman"/>
          <w:noProof/>
          <w:kern w:val="0"/>
          <w:sz w:val="20"/>
          <w:szCs w:val="20"/>
        </w:rPr>
      </w:pPr>
      <w:r w:rsidRPr="00BB546E">
        <w:rPr>
          <w:rFonts w:ascii="Times New Roman" w:hAnsi="Times New Roman" w:cs="Times New Roman"/>
          <w:noProof/>
          <w:kern w:val="0"/>
          <w:sz w:val="20"/>
          <w:szCs w:val="20"/>
        </w:rPr>
        <w:t xml:space="preserve">Alwaris, Sri Ayu Andari Putri, and Nugraha Hasan. 2023. “Adopsi Nilai-Nilai Islam Pada Instrumen Kebijakan Moneter Dalam Mengontrol Peredaran Uang.” </w:t>
      </w:r>
      <w:r w:rsidRPr="00BB546E">
        <w:rPr>
          <w:rFonts w:ascii="Times New Roman" w:hAnsi="Times New Roman" w:cs="Times New Roman"/>
          <w:i/>
          <w:iCs/>
          <w:noProof/>
          <w:kern w:val="0"/>
          <w:sz w:val="20"/>
          <w:szCs w:val="20"/>
        </w:rPr>
        <w:t>Kunuz: Journal of Islamic Banking and Finance</w:t>
      </w:r>
      <w:r w:rsidRPr="00BB546E">
        <w:rPr>
          <w:rFonts w:ascii="Times New Roman" w:hAnsi="Times New Roman" w:cs="Times New Roman"/>
          <w:noProof/>
          <w:kern w:val="0"/>
          <w:sz w:val="20"/>
          <w:szCs w:val="20"/>
        </w:rPr>
        <w:t xml:space="preserve"> 3(1):65–77. doi: 10.30984/kunuz.v3i1.601.</w:t>
      </w:r>
    </w:p>
    <w:p w14:paraId="628C4CF9" w14:textId="77777777" w:rsidR="00B211A1" w:rsidRDefault="00B211A1" w:rsidP="0098279E">
      <w:pPr>
        <w:spacing w:line="240" w:lineRule="auto"/>
        <w:ind w:left="720" w:hanging="720"/>
        <w:jc w:val="both"/>
        <w:rPr>
          <w:rFonts w:ascii="Times New Roman" w:eastAsia="Times New Roman" w:hAnsi="Times New Roman" w:cs="Times New Roman"/>
          <w:sz w:val="20"/>
          <w:szCs w:val="20"/>
        </w:rPr>
      </w:pPr>
      <w:r w:rsidRPr="00BB546E">
        <w:rPr>
          <w:rFonts w:ascii="Times New Roman" w:eastAsia="Times New Roman" w:hAnsi="Times New Roman" w:cs="Times New Roman"/>
          <w:sz w:val="20"/>
          <w:szCs w:val="20"/>
        </w:rPr>
        <w:t>Alwaris, Sri Ayu Andari Putri, and Nugraha Hasan. 2023. “Adopsi Nilai-Nilai Islam Pada Instrumen Kebijakan Moneter Dalam Mengontrol Peredaran Uang.” Kunuz: Journal of Islamic Banking and Finance 3(1):65–77. doi: 10.30984/kunuz.v3i1.601.</w:t>
      </w:r>
    </w:p>
    <w:p w14:paraId="3B71E744" w14:textId="77777777" w:rsidR="00B211A1" w:rsidRPr="00BB546E" w:rsidRDefault="00B211A1" w:rsidP="0098279E">
      <w:pPr>
        <w:widowControl w:val="0"/>
        <w:autoSpaceDE w:val="0"/>
        <w:autoSpaceDN w:val="0"/>
        <w:adjustRightInd w:val="0"/>
        <w:spacing w:line="240" w:lineRule="auto"/>
        <w:ind w:left="720" w:hanging="720"/>
        <w:jc w:val="both"/>
        <w:rPr>
          <w:rFonts w:ascii="Times New Roman" w:hAnsi="Times New Roman" w:cs="Times New Roman"/>
          <w:noProof/>
          <w:kern w:val="0"/>
          <w:sz w:val="20"/>
          <w:szCs w:val="20"/>
        </w:rPr>
      </w:pPr>
      <w:r w:rsidRPr="00BB546E">
        <w:rPr>
          <w:rFonts w:ascii="Times New Roman" w:hAnsi="Times New Roman" w:cs="Times New Roman"/>
          <w:noProof/>
          <w:kern w:val="0"/>
          <w:sz w:val="20"/>
          <w:szCs w:val="20"/>
        </w:rPr>
        <w:t xml:space="preserve">Anjelina, Eni Devi, Rania Salsabila, and Dwi Ayu Fitriyanti. 2020. “Peranan Zakat, Infak Dan Sedekah Dalam Meningkatkan Kesejahteraan Ekonomi Masyarakat.” </w:t>
      </w:r>
      <w:r w:rsidRPr="00BB546E">
        <w:rPr>
          <w:rFonts w:ascii="Times New Roman" w:hAnsi="Times New Roman" w:cs="Times New Roman"/>
          <w:i/>
          <w:iCs/>
          <w:noProof/>
          <w:kern w:val="0"/>
          <w:sz w:val="20"/>
          <w:szCs w:val="20"/>
        </w:rPr>
        <w:t>Jihbiz Jurnal Ekonomi Keuangan Dan Perbankan Syariah</w:t>
      </w:r>
      <w:r w:rsidRPr="00BB546E">
        <w:rPr>
          <w:rFonts w:ascii="Times New Roman" w:hAnsi="Times New Roman" w:cs="Times New Roman"/>
          <w:noProof/>
          <w:kern w:val="0"/>
          <w:sz w:val="20"/>
          <w:szCs w:val="20"/>
        </w:rPr>
        <w:t xml:space="preserve"> 4(2):136–47. doi: 10.33379/jihbiz.v4i2.859.</w:t>
      </w:r>
    </w:p>
    <w:p w14:paraId="1BC1EA61" w14:textId="77777777" w:rsidR="00B211A1" w:rsidRPr="00BB546E" w:rsidRDefault="00B211A1" w:rsidP="0098279E">
      <w:pPr>
        <w:widowControl w:val="0"/>
        <w:autoSpaceDE w:val="0"/>
        <w:autoSpaceDN w:val="0"/>
        <w:adjustRightInd w:val="0"/>
        <w:spacing w:line="240" w:lineRule="auto"/>
        <w:ind w:left="720" w:hanging="720"/>
        <w:jc w:val="both"/>
        <w:rPr>
          <w:rFonts w:ascii="Times New Roman" w:hAnsi="Times New Roman" w:cs="Times New Roman"/>
          <w:noProof/>
          <w:kern w:val="0"/>
          <w:sz w:val="20"/>
          <w:szCs w:val="20"/>
        </w:rPr>
      </w:pPr>
      <w:r w:rsidRPr="00BB546E">
        <w:rPr>
          <w:rFonts w:ascii="Times New Roman" w:hAnsi="Times New Roman" w:cs="Times New Roman"/>
          <w:noProof/>
          <w:kern w:val="0"/>
          <w:sz w:val="20"/>
          <w:szCs w:val="20"/>
        </w:rPr>
        <w:t xml:space="preserve">Gani, Ahmad Abdul. 2022. “Studi Komparatif Tentang Hukum Ekonomi Syariah Dan Hukum Ekonomi Konvensional: Sebuah Perbandingan Metodologi Dan Praktik.” </w:t>
      </w:r>
      <w:r w:rsidRPr="00BB546E">
        <w:rPr>
          <w:rFonts w:ascii="Times New Roman" w:hAnsi="Times New Roman" w:cs="Times New Roman"/>
          <w:i/>
          <w:iCs/>
          <w:noProof/>
          <w:kern w:val="0"/>
          <w:sz w:val="20"/>
          <w:szCs w:val="20"/>
        </w:rPr>
        <w:t>AKSY Jurnal Ilmu Akuntansi Dan Bisnis Syariah</w:t>
      </w:r>
      <w:r w:rsidRPr="00BB546E">
        <w:rPr>
          <w:rFonts w:ascii="Times New Roman" w:hAnsi="Times New Roman" w:cs="Times New Roman"/>
          <w:noProof/>
          <w:kern w:val="0"/>
          <w:sz w:val="20"/>
          <w:szCs w:val="20"/>
        </w:rPr>
        <w:t xml:space="preserve"> 4(2):207–26. doi: 10.15575/aksy.v4i2.26427.</w:t>
      </w:r>
    </w:p>
    <w:p w14:paraId="79495A6F" w14:textId="77777777" w:rsidR="00B211A1" w:rsidRDefault="00B211A1" w:rsidP="0098279E">
      <w:pPr>
        <w:spacing w:line="240" w:lineRule="auto"/>
        <w:ind w:left="720" w:hanging="720"/>
        <w:jc w:val="both"/>
        <w:rPr>
          <w:rFonts w:ascii="Times New Roman" w:hAnsi="Times New Roman" w:cs="Times New Roman"/>
          <w:sz w:val="20"/>
          <w:szCs w:val="20"/>
        </w:rPr>
      </w:pPr>
      <w:r w:rsidRPr="00BB546E">
        <w:rPr>
          <w:rFonts w:ascii="Times New Roman" w:hAnsi="Times New Roman" w:cs="Times New Roman"/>
          <w:sz w:val="20"/>
          <w:szCs w:val="20"/>
        </w:rPr>
        <w:t xml:space="preserve">Gustiani, E. D., Ascarya, A., &amp; Effendi, J. (2010). Analisis Pengaruh Social Values Terhadap </w:t>
      </w:r>
      <w:r w:rsidRPr="00BB546E">
        <w:rPr>
          <w:rFonts w:ascii="Times New Roman" w:hAnsi="Times New Roman" w:cs="Times New Roman"/>
          <w:sz w:val="20"/>
          <w:szCs w:val="20"/>
        </w:rPr>
        <w:tab/>
        <w:t xml:space="preserve">Jumlah Permintaan Uang Islam di Indonesia. </w:t>
      </w:r>
      <w:r w:rsidRPr="00BB546E">
        <w:rPr>
          <w:rFonts w:ascii="Times New Roman" w:hAnsi="Times New Roman" w:cs="Times New Roman"/>
          <w:i/>
          <w:iCs/>
          <w:sz w:val="20"/>
          <w:szCs w:val="20"/>
        </w:rPr>
        <w:t>Buletin Ekonomi Moneter dan Perbankan</w:t>
      </w:r>
      <w:r w:rsidRPr="00BB546E">
        <w:rPr>
          <w:rFonts w:ascii="Times New Roman" w:hAnsi="Times New Roman" w:cs="Times New Roman"/>
          <w:sz w:val="20"/>
          <w:szCs w:val="20"/>
        </w:rPr>
        <w:t xml:space="preserve">, </w:t>
      </w:r>
      <w:r w:rsidRPr="00BB546E">
        <w:rPr>
          <w:rFonts w:ascii="Times New Roman" w:hAnsi="Times New Roman" w:cs="Times New Roman"/>
          <w:sz w:val="20"/>
          <w:szCs w:val="20"/>
        </w:rPr>
        <w:tab/>
      </w:r>
      <w:r w:rsidRPr="00BB546E">
        <w:rPr>
          <w:rFonts w:ascii="Times New Roman" w:hAnsi="Times New Roman" w:cs="Times New Roman"/>
          <w:i/>
          <w:iCs/>
          <w:sz w:val="20"/>
          <w:szCs w:val="20"/>
        </w:rPr>
        <w:t>12</w:t>
      </w:r>
      <w:r w:rsidRPr="00BB546E">
        <w:rPr>
          <w:rFonts w:ascii="Times New Roman" w:hAnsi="Times New Roman" w:cs="Times New Roman"/>
          <w:sz w:val="20"/>
          <w:szCs w:val="20"/>
        </w:rPr>
        <w:t>(4), 517-548.</w:t>
      </w:r>
    </w:p>
    <w:p w14:paraId="0E1F544E" w14:textId="77777777" w:rsidR="00B211A1" w:rsidRPr="00BB546E" w:rsidRDefault="00B211A1" w:rsidP="0098279E">
      <w:pPr>
        <w:widowControl w:val="0"/>
        <w:autoSpaceDE w:val="0"/>
        <w:autoSpaceDN w:val="0"/>
        <w:adjustRightInd w:val="0"/>
        <w:spacing w:line="240" w:lineRule="auto"/>
        <w:ind w:left="720" w:hanging="720"/>
        <w:jc w:val="both"/>
        <w:rPr>
          <w:rFonts w:ascii="Times New Roman" w:hAnsi="Times New Roman" w:cs="Times New Roman"/>
          <w:noProof/>
          <w:kern w:val="0"/>
          <w:sz w:val="20"/>
          <w:szCs w:val="20"/>
        </w:rPr>
      </w:pPr>
      <w:r w:rsidRPr="00BB546E">
        <w:rPr>
          <w:rFonts w:ascii="Times New Roman" w:hAnsi="Times New Roman" w:cs="Times New Roman"/>
          <w:noProof/>
          <w:kern w:val="0"/>
          <w:sz w:val="20"/>
          <w:szCs w:val="20"/>
        </w:rPr>
        <w:t xml:space="preserve">Irawan, Heri, Srianti Permata, Eggy Armand Ramdani, Bella Jastacia, Satria Utama, Arridho Adbuh, Afidah Nur Aslamah, Akhmad Nur Zaroni, Atina Shofawati, Mega Mustika, and Anis Kurlillah. 2023. “Ekonomi Moneter Islam.” </w:t>
      </w:r>
      <w:r w:rsidRPr="00BB546E">
        <w:rPr>
          <w:rFonts w:ascii="Times New Roman" w:hAnsi="Times New Roman" w:cs="Times New Roman"/>
          <w:i/>
          <w:iCs/>
          <w:noProof/>
          <w:kern w:val="0"/>
          <w:sz w:val="20"/>
          <w:szCs w:val="20"/>
        </w:rPr>
        <w:t>Az-Zahra Media Society</w:t>
      </w:r>
      <w:r w:rsidRPr="00BB546E">
        <w:rPr>
          <w:rFonts w:ascii="Times New Roman" w:hAnsi="Times New Roman" w:cs="Times New Roman"/>
          <w:noProof/>
          <w:kern w:val="0"/>
          <w:sz w:val="20"/>
          <w:szCs w:val="20"/>
        </w:rPr>
        <w:t xml:space="preserve"> 3(1):10–27.</w:t>
      </w:r>
    </w:p>
    <w:p w14:paraId="62F1F11A" w14:textId="77777777" w:rsidR="00B211A1" w:rsidRDefault="00B211A1" w:rsidP="0098279E">
      <w:pPr>
        <w:spacing w:line="240" w:lineRule="auto"/>
        <w:ind w:left="720" w:hanging="720"/>
        <w:jc w:val="both"/>
        <w:rPr>
          <w:rFonts w:ascii="Times New Roman" w:hAnsi="Times New Roman" w:cs="Times New Roman"/>
          <w:sz w:val="20"/>
          <w:szCs w:val="20"/>
        </w:rPr>
      </w:pPr>
      <w:r w:rsidRPr="00BB546E">
        <w:rPr>
          <w:rFonts w:ascii="Times New Roman" w:hAnsi="Times New Roman" w:cs="Times New Roman"/>
          <w:sz w:val="20"/>
          <w:szCs w:val="20"/>
        </w:rPr>
        <w:t xml:space="preserve">Kunaifi, A., &amp; Rosyid, A. (2023). Pascapandemi, Bagaimana Efektifitas Kebijakan Quantitative Easing </w:t>
      </w:r>
      <w:r w:rsidRPr="00BB546E">
        <w:rPr>
          <w:rFonts w:ascii="Times New Roman" w:hAnsi="Times New Roman" w:cs="Times New Roman"/>
          <w:sz w:val="20"/>
          <w:szCs w:val="20"/>
        </w:rPr>
        <w:tab/>
        <w:t>(QE)?: Konsep Sistem Moneter Islam dalam Menstabilkan Ekonomi. Istithmar, 7(2), 131-141.</w:t>
      </w:r>
    </w:p>
    <w:p w14:paraId="76BB5832" w14:textId="77777777" w:rsidR="00B211A1" w:rsidRPr="00BB546E" w:rsidRDefault="00B211A1" w:rsidP="0098279E">
      <w:pPr>
        <w:autoSpaceDE w:val="0"/>
        <w:autoSpaceDN w:val="0"/>
        <w:spacing w:line="240" w:lineRule="auto"/>
        <w:ind w:left="720" w:hanging="720"/>
        <w:jc w:val="both"/>
        <w:rPr>
          <w:rFonts w:ascii="Times New Roman" w:eastAsia="Times New Roman" w:hAnsi="Times New Roman" w:cs="Times New Roman"/>
          <w:sz w:val="20"/>
          <w:szCs w:val="20"/>
        </w:rPr>
      </w:pPr>
      <w:r w:rsidRPr="00BB546E">
        <w:rPr>
          <w:rFonts w:ascii="Times New Roman" w:eastAsia="Times New Roman" w:hAnsi="Times New Roman" w:cs="Times New Roman"/>
          <w:sz w:val="20"/>
          <w:szCs w:val="20"/>
        </w:rPr>
        <w:lastRenderedPageBreak/>
        <w:t>Marasabessy, Ruslan Husen. 2022. “Sejarah Pemikiran Ekonomi Islam Klasik.” Jurnal Asy-Syukriyyah 16(1):72–87. doi: 10.36769/asy.v16i1.221.</w:t>
      </w:r>
    </w:p>
    <w:p w14:paraId="0C3369A2" w14:textId="77777777" w:rsidR="00B211A1" w:rsidRPr="00BB546E" w:rsidRDefault="00B211A1" w:rsidP="0098279E">
      <w:pPr>
        <w:widowControl w:val="0"/>
        <w:autoSpaceDE w:val="0"/>
        <w:autoSpaceDN w:val="0"/>
        <w:adjustRightInd w:val="0"/>
        <w:spacing w:line="240" w:lineRule="auto"/>
        <w:ind w:left="720" w:hanging="720"/>
        <w:jc w:val="both"/>
        <w:rPr>
          <w:rFonts w:ascii="Times New Roman" w:hAnsi="Times New Roman" w:cs="Times New Roman"/>
          <w:noProof/>
          <w:kern w:val="0"/>
          <w:sz w:val="20"/>
          <w:szCs w:val="20"/>
        </w:rPr>
      </w:pPr>
      <w:r w:rsidRPr="00BB546E">
        <w:rPr>
          <w:rFonts w:ascii="Times New Roman" w:hAnsi="Times New Roman" w:cs="Times New Roman"/>
          <w:noProof/>
          <w:kern w:val="0"/>
          <w:sz w:val="20"/>
          <w:szCs w:val="20"/>
        </w:rPr>
        <w:t xml:space="preserve">Ningrum, Deviana Putri, Siti Aisyah Hasanah, Yuni Zaroh, and Naufal Firdaus. 2024. “Pengaruh Kebijakan Moneter Syariah Terhadap Stabilitas Mata Uang.” </w:t>
      </w:r>
      <w:r w:rsidRPr="00BB546E">
        <w:rPr>
          <w:rFonts w:ascii="Times New Roman" w:hAnsi="Times New Roman" w:cs="Times New Roman"/>
          <w:i/>
          <w:iCs/>
          <w:noProof/>
          <w:kern w:val="0"/>
          <w:sz w:val="20"/>
          <w:szCs w:val="20"/>
        </w:rPr>
        <w:t>Jurnal Media Akademik</w:t>
      </w:r>
      <w:r w:rsidRPr="00BB546E">
        <w:rPr>
          <w:rFonts w:ascii="Times New Roman" w:hAnsi="Times New Roman" w:cs="Times New Roman"/>
          <w:noProof/>
          <w:kern w:val="0"/>
          <w:sz w:val="20"/>
          <w:szCs w:val="20"/>
        </w:rPr>
        <w:t xml:space="preserve"> 2(6):3031–5220.</w:t>
      </w:r>
    </w:p>
    <w:p w14:paraId="2B681BE2" w14:textId="77777777" w:rsidR="00B211A1" w:rsidRPr="00BB546E" w:rsidRDefault="00B211A1" w:rsidP="0098279E">
      <w:pPr>
        <w:widowControl w:val="0"/>
        <w:autoSpaceDE w:val="0"/>
        <w:autoSpaceDN w:val="0"/>
        <w:adjustRightInd w:val="0"/>
        <w:spacing w:line="240" w:lineRule="auto"/>
        <w:ind w:left="720" w:hanging="720"/>
        <w:jc w:val="both"/>
        <w:rPr>
          <w:rFonts w:ascii="Times New Roman" w:hAnsi="Times New Roman" w:cs="Times New Roman"/>
          <w:noProof/>
          <w:kern w:val="0"/>
          <w:sz w:val="20"/>
          <w:szCs w:val="20"/>
        </w:rPr>
      </w:pPr>
      <w:r w:rsidRPr="00BB546E">
        <w:rPr>
          <w:rFonts w:ascii="Times New Roman" w:hAnsi="Times New Roman" w:cs="Times New Roman"/>
          <w:noProof/>
          <w:kern w:val="0"/>
          <w:sz w:val="20"/>
          <w:szCs w:val="20"/>
        </w:rPr>
        <w:t xml:space="preserve">Nofrianto, Azharsyah Ibrahim, Erika Amelia |. Nashr Akbar Nur Kholis, and Suci Aprilliani Utami. 2021. </w:t>
      </w:r>
      <w:r w:rsidRPr="00BB546E">
        <w:rPr>
          <w:rFonts w:ascii="Times New Roman" w:hAnsi="Times New Roman" w:cs="Times New Roman"/>
          <w:i/>
          <w:iCs/>
          <w:noProof/>
          <w:kern w:val="0"/>
          <w:sz w:val="20"/>
          <w:szCs w:val="20"/>
        </w:rPr>
        <w:t>Pengatar Ekonomi Syariah</w:t>
      </w:r>
      <w:r w:rsidRPr="00BB546E">
        <w:rPr>
          <w:rFonts w:ascii="Times New Roman" w:hAnsi="Times New Roman" w:cs="Times New Roman"/>
          <w:noProof/>
          <w:kern w:val="0"/>
          <w:sz w:val="20"/>
          <w:szCs w:val="20"/>
        </w:rPr>
        <w:t>.</w:t>
      </w:r>
    </w:p>
    <w:p w14:paraId="54027123" w14:textId="77777777" w:rsidR="00B211A1" w:rsidRDefault="00B211A1" w:rsidP="0098279E">
      <w:pPr>
        <w:spacing w:line="240" w:lineRule="auto"/>
        <w:ind w:left="720" w:hanging="720"/>
        <w:jc w:val="both"/>
        <w:rPr>
          <w:rFonts w:ascii="Times New Roman" w:hAnsi="Times New Roman" w:cs="Times New Roman"/>
          <w:sz w:val="20"/>
          <w:szCs w:val="20"/>
        </w:rPr>
      </w:pPr>
      <w:r w:rsidRPr="00BB546E">
        <w:rPr>
          <w:rFonts w:ascii="Times New Roman" w:hAnsi="Times New Roman" w:cs="Times New Roman"/>
          <w:sz w:val="20"/>
          <w:szCs w:val="20"/>
        </w:rPr>
        <w:t xml:space="preserve">Putri, I. A., &amp; Nasution, E. O. A. (2022). KEBIJAKAN MONETER DAN IMPLIKASINYA </w:t>
      </w:r>
      <w:r w:rsidRPr="00BB546E">
        <w:rPr>
          <w:rFonts w:ascii="Times New Roman" w:hAnsi="Times New Roman" w:cs="Times New Roman"/>
          <w:sz w:val="20"/>
          <w:szCs w:val="20"/>
        </w:rPr>
        <w:tab/>
        <w:t xml:space="preserve">TERHADAP PEMBANGUNAN EKONOMI DALAM PEREPEKTIF EKONOMI ISLAM. </w:t>
      </w:r>
      <w:r w:rsidRPr="00BB546E">
        <w:rPr>
          <w:rFonts w:ascii="Times New Roman" w:hAnsi="Times New Roman" w:cs="Times New Roman"/>
          <w:sz w:val="20"/>
          <w:szCs w:val="20"/>
        </w:rPr>
        <w:tab/>
        <w:t>Studia Economica: Jurnal Ekonomi Islam, 8(1), 166-183</w:t>
      </w:r>
    </w:p>
    <w:p w14:paraId="7CBB22DA" w14:textId="77777777" w:rsidR="00B211A1" w:rsidRPr="00BB546E" w:rsidRDefault="00B211A1" w:rsidP="0098279E">
      <w:pPr>
        <w:widowControl w:val="0"/>
        <w:autoSpaceDE w:val="0"/>
        <w:autoSpaceDN w:val="0"/>
        <w:adjustRightInd w:val="0"/>
        <w:spacing w:line="240" w:lineRule="auto"/>
        <w:ind w:left="720" w:hanging="720"/>
        <w:jc w:val="both"/>
        <w:rPr>
          <w:rFonts w:ascii="Times New Roman" w:hAnsi="Times New Roman" w:cs="Times New Roman"/>
          <w:noProof/>
          <w:kern w:val="0"/>
          <w:sz w:val="20"/>
          <w:szCs w:val="20"/>
        </w:rPr>
      </w:pPr>
      <w:r w:rsidRPr="00BB546E">
        <w:rPr>
          <w:rFonts w:ascii="Times New Roman" w:hAnsi="Times New Roman" w:cs="Times New Roman"/>
          <w:noProof/>
          <w:kern w:val="0"/>
          <w:sz w:val="20"/>
          <w:szCs w:val="20"/>
        </w:rPr>
        <w:t>Safitri, Riska Aulia, Abdulloh Faqih, and Universitas Trunojoyo Madura. 2024. “Analisis Peran Kebijakan Moneter Dalam Upaya Pembangunan Ekonomi Berkelanjutan Dalam Tinjauan Ekonomi Syariah.” 2(6).</w:t>
      </w:r>
    </w:p>
    <w:p w14:paraId="76878D8C" w14:textId="65258FFF" w:rsidR="007116FC" w:rsidRPr="00B211A1" w:rsidRDefault="00B211A1" w:rsidP="0098279E">
      <w:pPr>
        <w:widowControl w:val="0"/>
        <w:autoSpaceDE w:val="0"/>
        <w:autoSpaceDN w:val="0"/>
        <w:adjustRightInd w:val="0"/>
        <w:spacing w:line="240" w:lineRule="auto"/>
        <w:ind w:left="720" w:hanging="720"/>
        <w:jc w:val="both"/>
        <w:rPr>
          <w:rFonts w:ascii="Times New Roman" w:hAnsi="Times New Roman" w:cs="Times New Roman"/>
          <w:noProof/>
          <w:kern w:val="0"/>
          <w:sz w:val="20"/>
          <w:szCs w:val="20"/>
        </w:rPr>
      </w:pPr>
      <w:r w:rsidRPr="00BB546E">
        <w:rPr>
          <w:rFonts w:ascii="Times New Roman" w:hAnsi="Times New Roman" w:cs="Times New Roman"/>
          <w:noProof/>
          <w:kern w:val="0"/>
          <w:sz w:val="20"/>
          <w:szCs w:val="20"/>
        </w:rPr>
        <w:t xml:space="preserve">Suparmoko, Muhammad. 2020. “Pembangunan Nasional Dan Regional.” </w:t>
      </w:r>
      <w:r w:rsidRPr="00BB546E">
        <w:rPr>
          <w:rFonts w:ascii="Times New Roman" w:hAnsi="Times New Roman" w:cs="Times New Roman"/>
          <w:i/>
          <w:iCs/>
          <w:noProof/>
          <w:kern w:val="0"/>
          <w:sz w:val="20"/>
          <w:szCs w:val="20"/>
        </w:rPr>
        <w:t>Jurnal Ekonomika Dan Manajemen</w:t>
      </w:r>
      <w:r w:rsidRPr="00BB546E">
        <w:rPr>
          <w:rFonts w:ascii="Times New Roman" w:hAnsi="Times New Roman" w:cs="Times New Roman"/>
          <w:noProof/>
          <w:kern w:val="0"/>
          <w:sz w:val="20"/>
          <w:szCs w:val="20"/>
        </w:rPr>
        <w:t xml:space="preserve"> 9(1):39–50.</w:t>
      </w:r>
    </w:p>
    <w:p w14:paraId="76B91C35" w14:textId="29B22031" w:rsidR="00BB546E" w:rsidRPr="00BB546E" w:rsidRDefault="00BB546E" w:rsidP="0098279E">
      <w:pPr>
        <w:spacing w:line="240" w:lineRule="auto"/>
        <w:jc w:val="both"/>
        <w:rPr>
          <w:rFonts w:ascii="Times New Roman" w:hAnsi="Times New Roman" w:cs="Times New Roman"/>
          <w:b/>
          <w:sz w:val="24"/>
          <w:szCs w:val="24"/>
        </w:rPr>
      </w:pPr>
      <w:r w:rsidRPr="00BB546E">
        <w:rPr>
          <w:rFonts w:ascii="Times New Roman" w:hAnsi="Times New Roman" w:cs="Times New Roman"/>
          <w:b/>
          <w:sz w:val="24"/>
          <w:szCs w:val="24"/>
        </w:rPr>
        <w:t>Buku</w:t>
      </w:r>
    </w:p>
    <w:p w14:paraId="69BFBE0F" w14:textId="77777777" w:rsidR="00B211A1" w:rsidRPr="00BB546E" w:rsidRDefault="00B211A1" w:rsidP="0098279E">
      <w:pPr>
        <w:widowControl w:val="0"/>
        <w:autoSpaceDE w:val="0"/>
        <w:autoSpaceDN w:val="0"/>
        <w:adjustRightInd w:val="0"/>
        <w:spacing w:line="240" w:lineRule="auto"/>
        <w:ind w:left="480" w:hanging="480"/>
        <w:jc w:val="both"/>
        <w:rPr>
          <w:rFonts w:ascii="Times New Roman" w:hAnsi="Times New Roman" w:cs="Times New Roman"/>
          <w:noProof/>
          <w:kern w:val="0"/>
          <w:sz w:val="20"/>
          <w:szCs w:val="20"/>
        </w:rPr>
      </w:pPr>
      <w:r w:rsidRPr="00BB546E">
        <w:rPr>
          <w:rFonts w:ascii="Times New Roman" w:hAnsi="Times New Roman" w:cs="Times New Roman"/>
          <w:noProof/>
          <w:kern w:val="0"/>
          <w:sz w:val="20"/>
          <w:szCs w:val="20"/>
        </w:rPr>
        <w:t xml:space="preserve">Cahyani, Ferina Ardhi. 2020. “Upaya Peningkatan Daya Dukung Lingkungan Melalui Penerapan Prinsip Sustainable Development Berdasarkan Undang-Undang Nomor 32 Tahun 2009 Tentang Perlindungan Dan Pengelolaan Lingkungan Hidup.” </w:t>
      </w:r>
      <w:r w:rsidRPr="00BB546E">
        <w:rPr>
          <w:rFonts w:ascii="Times New Roman" w:hAnsi="Times New Roman" w:cs="Times New Roman"/>
          <w:i/>
          <w:iCs/>
          <w:noProof/>
          <w:kern w:val="0"/>
          <w:sz w:val="20"/>
          <w:szCs w:val="20"/>
        </w:rPr>
        <w:t>Indonesian State Law Review (ISLRev)</w:t>
      </w:r>
      <w:r w:rsidRPr="00BB546E">
        <w:rPr>
          <w:rFonts w:ascii="Times New Roman" w:hAnsi="Times New Roman" w:cs="Times New Roman"/>
          <w:noProof/>
          <w:kern w:val="0"/>
          <w:sz w:val="20"/>
          <w:szCs w:val="20"/>
        </w:rPr>
        <w:t xml:space="preserve"> 2(2):168–79. doi: 10.15294/islrev.v2i2.38472.</w:t>
      </w:r>
    </w:p>
    <w:p w14:paraId="43FE4AA9" w14:textId="6D121E73" w:rsidR="007116FC" w:rsidRDefault="00B211A1" w:rsidP="0098279E">
      <w:pPr>
        <w:autoSpaceDE w:val="0"/>
        <w:autoSpaceDN w:val="0"/>
        <w:spacing w:line="240" w:lineRule="auto"/>
        <w:ind w:left="720" w:hanging="720"/>
        <w:jc w:val="both"/>
        <w:rPr>
          <w:rFonts w:ascii="Times New Roman" w:eastAsia="Times New Roman" w:hAnsi="Times New Roman" w:cs="Times New Roman"/>
          <w:sz w:val="20"/>
          <w:szCs w:val="20"/>
        </w:rPr>
      </w:pPr>
      <w:r w:rsidRPr="00BB546E">
        <w:rPr>
          <w:rFonts w:ascii="Times New Roman" w:eastAsia="Times New Roman" w:hAnsi="Times New Roman" w:cs="Times New Roman"/>
          <w:sz w:val="20"/>
          <w:szCs w:val="20"/>
        </w:rPr>
        <w:t>Safitri, Riska Aulia, Abdulloh Faqih, and Universitas Trunojoyo Madura. 2024. “Analisis Peran Kebijakan Moneter Dalam Upaya Pembangunan Ekonomi Berkelanjutan Dalam Tinjauan Ekonomi Syariah.” 2(6).</w:t>
      </w:r>
    </w:p>
    <w:p w14:paraId="77230B85" w14:textId="167DDAA4" w:rsidR="007116FC" w:rsidRPr="007116FC" w:rsidRDefault="007116FC" w:rsidP="0098279E">
      <w:pPr>
        <w:autoSpaceDE w:val="0"/>
        <w:autoSpaceDN w:val="0"/>
        <w:spacing w:line="240" w:lineRule="auto"/>
        <w:ind w:left="720" w:hanging="720"/>
        <w:jc w:val="both"/>
        <w:rPr>
          <w:rFonts w:ascii="Times New Roman" w:eastAsia="Times New Roman" w:hAnsi="Times New Roman" w:cs="Times New Roman"/>
          <w:sz w:val="24"/>
          <w:szCs w:val="24"/>
        </w:rPr>
      </w:pPr>
      <w:r w:rsidRPr="007116FC">
        <w:rPr>
          <w:rFonts w:ascii="Times New Roman" w:hAnsi="Times New Roman" w:cs="Times New Roman"/>
          <w:b/>
          <w:sz w:val="24"/>
          <w:szCs w:val="24"/>
        </w:rPr>
        <w:t>Skripsi</w:t>
      </w:r>
    </w:p>
    <w:p w14:paraId="46945CE2" w14:textId="77777777" w:rsidR="00B211A1" w:rsidRPr="00BB546E" w:rsidRDefault="00B211A1" w:rsidP="0098279E">
      <w:pPr>
        <w:autoSpaceDE w:val="0"/>
        <w:autoSpaceDN w:val="0"/>
        <w:spacing w:line="240" w:lineRule="auto"/>
        <w:ind w:left="720" w:hanging="720"/>
        <w:jc w:val="both"/>
        <w:rPr>
          <w:rFonts w:ascii="Times New Roman" w:eastAsia="Times New Roman" w:hAnsi="Times New Roman" w:cs="Times New Roman"/>
          <w:sz w:val="20"/>
          <w:szCs w:val="20"/>
        </w:rPr>
      </w:pPr>
      <w:r w:rsidRPr="00BB546E">
        <w:rPr>
          <w:rFonts w:ascii="Times New Roman" w:eastAsia="Times New Roman" w:hAnsi="Times New Roman" w:cs="Times New Roman"/>
          <w:sz w:val="20"/>
          <w:szCs w:val="20"/>
        </w:rPr>
        <w:t>Mansur, Ahmad. 2013. “Kebijakan Moneter Dan Implikasinya Terhadap Pembangunan Ekonomi Dalam Perspektif Islam.” Tsaqafah 9(1):57. doi: 10.21111/tsaqafah.v9i1.38.</w:t>
      </w:r>
    </w:p>
    <w:p w14:paraId="44BC1C86" w14:textId="77777777" w:rsidR="00B211A1" w:rsidRPr="00BB546E" w:rsidRDefault="00B211A1" w:rsidP="0098279E">
      <w:pPr>
        <w:widowControl w:val="0"/>
        <w:autoSpaceDE w:val="0"/>
        <w:autoSpaceDN w:val="0"/>
        <w:adjustRightInd w:val="0"/>
        <w:spacing w:line="240" w:lineRule="auto"/>
        <w:ind w:left="480" w:hanging="480"/>
        <w:jc w:val="both"/>
        <w:rPr>
          <w:rFonts w:ascii="Times New Roman" w:hAnsi="Times New Roman" w:cs="Times New Roman"/>
          <w:noProof/>
          <w:kern w:val="0"/>
          <w:sz w:val="20"/>
          <w:szCs w:val="20"/>
        </w:rPr>
      </w:pPr>
      <w:r w:rsidRPr="00BB546E">
        <w:rPr>
          <w:rFonts w:ascii="Times New Roman" w:hAnsi="Times New Roman" w:cs="Times New Roman"/>
          <w:noProof/>
          <w:kern w:val="0"/>
          <w:sz w:val="20"/>
          <w:szCs w:val="20"/>
        </w:rPr>
        <w:t xml:space="preserve">Mansur, Ahmad. 2013. “Kebijakan Moneter Dan Implikasinya Terhadap Pembangunan Ekonomi Dalam Perspektif Islam.” </w:t>
      </w:r>
      <w:r w:rsidRPr="00BB546E">
        <w:rPr>
          <w:rFonts w:ascii="Times New Roman" w:hAnsi="Times New Roman" w:cs="Times New Roman"/>
          <w:i/>
          <w:iCs/>
          <w:noProof/>
          <w:kern w:val="0"/>
          <w:sz w:val="20"/>
          <w:szCs w:val="20"/>
        </w:rPr>
        <w:t>Tsaqafah</w:t>
      </w:r>
      <w:r w:rsidRPr="00BB546E">
        <w:rPr>
          <w:rFonts w:ascii="Times New Roman" w:hAnsi="Times New Roman" w:cs="Times New Roman"/>
          <w:noProof/>
          <w:kern w:val="0"/>
          <w:sz w:val="20"/>
          <w:szCs w:val="20"/>
        </w:rPr>
        <w:t xml:space="preserve"> 9(1):57. doi: 10.21111/tsaqafah.v9i1.38.</w:t>
      </w:r>
    </w:p>
    <w:sdt>
      <w:sdtPr>
        <w:rPr>
          <w:rFonts w:ascii="Times New Roman" w:hAnsi="Times New Roman" w:cs="Times New Roman"/>
          <w:sz w:val="20"/>
          <w:szCs w:val="20"/>
        </w:rPr>
        <w:tag w:val="MENDELEY_BIBLIOGRAPHY"/>
        <w:id w:val="-1562088091"/>
        <w:placeholder>
          <w:docPart w:val="74C2E9F0DE1D4F2A8F09C8B3EF05ABDE"/>
        </w:placeholder>
      </w:sdtPr>
      <w:sdtContent>
        <w:p w14:paraId="2246F505" w14:textId="6B27026F" w:rsidR="00BB546E" w:rsidRPr="00B211A1" w:rsidRDefault="00B211A1" w:rsidP="0098279E">
          <w:pPr>
            <w:autoSpaceDE w:val="0"/>
            <w:autoSpaceDN w:val="0"/>
            <w:spacing w:line="240" w:lineRule="auto"/>
            <w:ind w:left="720" w:hanging="720"/>
            <w:jc w:val="both"/>
            <w:rPr>
              <w:rFonts w:ascii="Times New Roman" w:eastAsia="Times New Roman" w:hAnsi="Times New Roman" w:cs="Times New Roman"/>
              <w:kern w:val="0"/>
              <w:sz w:val="20"/>
              <w:szCs w:val="20"/>
              <w14:ligatures w14:val="none"/>
            </w:rPr>
          </w:pPr>
          <w:r w:rsidRPr="00BB546E">
            <w:rPr>
              <w:rFonts w:ascii="Times New Roman" w:eastAsia="Times New Roman" w:hAnsi="Times New Roman" w:cs="Times New Roman"/>
              <w:sz w:val="20"/>
              <w:szCs w:val="20"/>
            </w:rPr>
            <w:t>Yunita, and Novia Astuti. 2024. “Pembangunan Ekonomi Syariah Dan Hukum Ekonomi Berkelanjutan.” 1(4):63–69.</w:t>
          </w:r>
        </w:p>
      </w:sdtContent>
    </w:sdt>
    <w:p w14:paraId="75A4D504" w14:textId="77777777" w:rsidR="00BB546E" w:rsidRPr="00BB546E" w:rsidRDefault="00BB546E" w:rsidP="0098279E">
      <w:pPr>
        <w:jc w:val="both"/>
        <w:rPr>
          <w:rFonts w:ascii="Times New Roman" w:hAnsi="Times New Roman" w:cs="Times New Roman"/>
          <w:b/>
          <w:sz w:val="24"/>
          <w:szCs w:val="24"/>
          <w:lang w:val="id-ID"/>
        </w:rPr>
      </w:pPr>
      <w:r w:rsidRPr="00BB546E">
        <w:rPr>
          <w:rFonts w:ascii="Times New Roman" w:hAnsi="Times New Roman" w:cs="Times New Roman"/>
          <w:b/>
          <w:sz w:val="24"/>
          <w:szCs w:val="24"/>
          <w:lang w:val="id-ID"/>
        </w:rPr>
        <w:t xml:space="preserve">Buku Kompilasi </w:t>
      </w:r>
    </w:p>
    <w:p w14:paraId="45300938" w14:textId="77777777" w:rsidR="00B211A1" w:rsidRPr="00BB546E" w:rsidRDefault="00B211A1" w:rsidP="0098279E">
      <w:pPr>
        <w:widowControl w:val="0"/>
        <w:autoSpaceDE w:val="0"/>
        <w:autoSpaceDN w:val="0"/>
        <w:adjustRightInd w:val="0"/>
        <w:spacing w:line="240" w:lineRule="auto"/>
        <w:ind w:left="720" w:hanging="720"/>
        <w:jc w:val="both"/>
        <w:rPr>
          <w:rFonts w:ascii="Times New Roman" w:hAnsi="Times New Roman" w:cs="Times New Roman"/>
          <w:noProof/>
          <w:kern w:val="0"/>
          <w:sz w:val="20"/>
          <w:szCs w:val="20"/>
        </w:rPr>
      </w:pPr>
      <w:r w:rsidRPr="00BB546E">
        <w:rPr>
          <w:rFonts w:ascii="Times New Roman" w:hAnsi="Times New Roman" w:cs="Times New Roman"/>
          <w:noProof/>
          <w:kern w:val="0"/>
          <w:sz w:val="20"/>
          <w:szCs w:val="20"/>
        </w:rPr>
        <w:t>Anon. 2019. “Sistem Penilaian Kinerja Finansial Dan Sosial Bank Syariah Perspektif.”</w:t>
      </w:r>
    </w:p>
    <w:p w14:paraId="5EDE7339" w14:textId="77777777" w:rsidR="00B211A1" w:rsidRPr="00BB546E" w:rsidRDefault="00B211A1" w:rsidP="0098279E">
      <w:pPr>
        <w:widowControl w:val="0"/>
        <w:autoSpaceDE w:val="0"/>
        <w:autoSpaceDN w:val="0"/>
        <w:adjustRightInd w:val="0"/>
        <w:spacing w:line="240" w:lineRule="auto"/>
        <w:ind w:left="720" w:hanging="720"/>
        <w:jc w:val="both"/>
        <w:rPr>
          <w:rFonts w:ascii="Times New Roman" w:hAnsi="Times New Roman" w:cs="Times New Roman"/>
          <w:noProof/>
          <w:kern w:val="0"/>
          <w:sz w:val="20"/>
          <w:szCs w:val="20"/>
        </w:rPr>
      </w:pPr>
      <w:r w:rsidRPr="00BB546E">
        <w:rPr>
          <w:rFonts w:ascii="Times New Roman" w:hAnsi="Times New Roman" w:cs="Times New Roman"/>
          <w:noProof/>
          <w:kern w:val="0"/>
          <w:sz w:val="20"/>
          <w:szCs w:val="20"/>
        </w:rPr>
        <w:t>Anon. n.d.-a. “SDG_India_Index_2023-24.Pdf.”</w:t>
      </w:r>
    </w:p>
    <w:p w14:paraId="0C743159" w14:textId="52954273" w:rsidR="00173854" w:rsidRPr="00B211A1" w:rsidRDefault="00B211A1" w:rsidP="0098279E">
      <w:pPr>
        <w:widowControl w:val="0"/>
        <w:autoSpaceDE w:val="0"/>
        <w:autoSpaceDN w:val="0"/>
        <w:adjustRightInd w:val="0"/>
        <w:spacing w:line="240" w:lineRule="auto"/>
        <w:ind w:left="720" w:hanging="720"/>
        <w:jc w:val="both"/>
        <w:rPr>
          <w:rFonts w:ascii="Times New Roman" w:hAnsi="Times New Roman" w:cs="Times New Roman"/>
          <w:noProof/>
          <w:kern w:val="0"/>
          <w:sz w:val="20"/>
          <w:szCs w:val="20"/>
        </w:rPr>
      </w:pPr>
      <w:r w:rsidRPr="00BB546E">
        <w:rPr>
          <w:rFonts w:ascii="Times New Roman" w:hAnsi="Times New Roman" w:cs="Times New Roman"/>
          <w:noProof/>
          <w:kern w:val="0"/>
          <w:sz w:val="20"/>
          <w:szCs w:val="20"/>
        </w:rPr>
        <w:t>Anon. n.d.-b. “Untuk Mewujudkan UMKM Naik Kelas.”</w:t>
      </w:r>
    </w:p>
    <w:p w14:paraId="6118251B" w14:textId="77777777" w:rsidR="00BB546E" w:rsidRDefault="00BB546E" w:rsidP="0098279E">
      <w:pPr>
        <w:jc w:val="both"/>
        <w:rPr>
          <w:rFonts w:ascii="Times New Roman" w:hAnsi="Times New Roman" w:cs="Times New Roman"/>
          <w:b/>
        </w:rPr>
      </w:pPr>
      <w:r w:rsidRPr="00BB546E">
        <w:rPr>
          <w:rFonts w:ascii="Times New Roman" w:hAnsi="Times New Roman" w:cs="Times New Roman"/>
          <w:b/>
        </w:rPr>
        <w:t>Internet</w:t>
      </w:r>
    </w:p>
    <w:p w14:paraId="69993B75" w14:textId="77777777" w:rsidR="00B211A1" w:rsidRPr="007116FC" w:rsidRDefault="00B211A1" w:rsidP="0098279E">
      <w:pPr>
        <w:ind w:left="720" w:hanging="720"/>
        <w:jc w:val="both"/>
        <w:rPr>
          <w:rFonts w:ascii="Times New Roman" w:hAnsi="Times New Roman" w:cs="Times New Roman"/>
          <w:noProof/>
          <w:kern w:val="0"/>
          <w:sz w:val="20"/>
          <w:szCs w:val="20"/>
        </w:rPr>
      </w:pPr>
      <w:r w:rsidRPr="007116FC">
        <w:rPr>
          <w:rFonts w:ascii="Times New Roman" w:hAnsi="Times New Roman" w:cs="Times New Roman"/>
          <w:noProof/>
          <w:kern w:val="0"/>
          <w:sz w:val="20"/>
          <w:szCs w:val="20"/>
        </w:rPr>
        <w:t xml:space="preserve">Alviansyah Pasaribu. 2023. “Sistem Keuangan China Janjikan Upaya Untuk Dukung Ekonomi Riil.” </w:t>
      </w:r>
      <w:r w:rsidRPr="007116FC">
        <w:rPr>
          <w:rFonts w:ascii="Times New Roman" w:hAnsi="Times New Roman" w:cs="Times New Roman"/>
          <w:i/>
          <w:iCs/>
          <w:noProof/>
          <w:kern w:val="0"/>
          <w:sz w:val="20"/>
          <w:szCs w:val="20"/>
        </w:rPr>
        <w:t>ANTARA</w:t>
      </w:r>
      <w:r w:rsidRPr="007116FC">
        <w:rPr>
          <w:rFonts w:ascii="Times New Roman" w:hAnsi="Times New Roman" w:cs="Times New Roman"/>
          <w:noProof/>
          <w:kern w:val="0"/>
          <w:sz w:val="20"/>
          <w:szCs w:val="20"/>
        </w:rPr>
        <w:t>. Retrieved (</w:t>
      </w:r>
      <w:hyperlink r:id="rId8" w:history="1">
        <w:r w:rsidRPr="007116FC">
          <w:rPr>
            <w:rStyle w:val="Hyperlink"/>
            <w:rFonts w:ascii="Times New Roman" w:hAnsi="Times New Roman" w:cs="Times New Roman"/>
            <w:noProof/>
            <w:kern w:val="0"/>
            <w:sz w:val="20"/>
            <w:szCs w:val="20"/>
          </w:rPr>
          <w:t>https://www.antaranews.com/berita/3786159/sistem-keuangan-china-janjikan-upaya-untuk-dukung-ekonomi-riil?</w:t>
        </w:r>
      </w:hyperlink>
      <w:r w:rsidRPr="007116FC">
        <w:rPr>
          <w:rFonts w:ascii="Times New Roman" w:hAnsi="Times New Roman" w:cs="Times New Roman"/>
          <w:noProof/>
          <w:kern w:val="0"/>
          <w:sz w:val="20"/>
          <w:szCs w:val="20"/>
        </w:rPr>
        <w:t>).</w:t>
      </w:r>
    </w:p>
    <w:p w14:paraId="06ECCA60" w14:textId="77777777" w:rsidR="00B211A1" w:rsidRPr="007116FC" w:rsidRDefault="00B211A1" w:rsidP="00007546">
      <w:pPr>
        <w:widowControl w:val="0"/>
        <w:autoSpaceDE w:val="0"/>
        <w:autoSpaceDN w:val="0"/>
        <w:adjustRightInd w:val="0"/>
        <w:spacing w:line="240" w:lineRule="auto"/>
        <w:ind w:left="720" w:hanging="720"/>
        <w:jc w:val="both"/>
        <w:rPr>
          <w:rFonts w:ascii="Times New Roman" w:hAnsi="Times New Roman" w:cs="Times New Roman"/>
          <w:noProof/>
          <w:kern w:val="0"/>
          <w:sz w:val="20"/>
          <w:szCs w:val="20"/>
        </w:rPr>
      </w:pPr>
      <w:r w:rsidRPr="007116FC">
        <w:rPr>
          <w:rFonts w:ascii="Times New Roman" w:hAnsi="Times New Roman" w:cs="Times New Roman"/>
          <w:noProof/>
          <w:kern w:val="0"/>
          <w:sz w:val="20"/>
          <w:szCs w:val="20"/>
        </w:rPr>
        <w:t xml:space="preserve">Deutsche Welle. 2023. “Jerman Siapkan 57 Miliar Euro Untuk Infrastruktur Hijau 2024.” </w:t>
      </w:r>
      <w:r w:rsidRPr="007116FC">
        <w:rPr>
          <w:rFonts w:ascii="Times New Roman" w:hAnsi="Times New Roman" w:cs="Times New Roman"/>
          <w:i/>
          <w:iCs/>
          <w:noProof/>
          <w:kern w:val="0"/>
          <w:sz w:val="20"/>
          <w:szCs w:val="20"/>
        </w:rPr>
        <w:t>Deutsche Welle</w:t>
      </w:r>
      <w:r w:rsidRPr="007116FC">
        <w:rPr>
          <w:rFonts w:ascii="Times New Roman" w:hAnsi="Times New Roman" w:cs="Times New Roman"/>
          <w:noProof/>
          <w:kern w:val="0"/>
          <w:sz w:val="20"/>
          <w:szCs w:val="20"/>
        </w:rPr>
        <w:t xml:space="preserve"> 2023. Retrieved (https://www.dw.com/id/jerman-siapkan-miliaran-euro-untuk-infrastruktur-hijau/a-66505735?utm_com).</w:t>
      </w:r>
    </w:p>
    <w:p w14:paraId="451C895C" w14:textId="77777777" w:rsidR="00B211A1" w:rsidRPr="00BB546E" w:rsidRDefault="00B211A1" w:rsidP="0098279E">
      <w:pPr>
        <w:widowControl w:val="0"/>
        <w:autoSpaceDE w:val="0"/>
        <w:autoSpaceDN w:val="0"/>
        <w:adjustRightInd w:val="0"/>
        <w:spacing w:line="240" w:lineRule="auto"/>
        <w:ind w:left="720" w:hanging="720"/>
        <w:jc w:val="both"/>
        <w:rPr>
          <w:rFonts w:ascii="Times New Roman" w:hAnsi="Times New Roman" w:cs="Times New Roman"/>
          <w:noProof/>
          <w:kern w:val="0"/>
          <w:sz w:val="20"/>
          <w:szCs w:val="20"/>
        </w:rPr>
      </w:pPr>
      <w:r w:rsidRPr="00BB546E">
        <w:rPr>
          <w:rFonts w:ascii="Times New Roman" w:hAnsi="Times New Roman" w:cs="Times New Roman"/>
          <w:noProof/>
          <w:kern w:val="0"/>
          <w:sz w:val="20"/>
          <w:szCs w:val="20"/>
        </w:rPr>
        <w:t xml:space="preserve">Government, Federal. 2022. “Germany’s Sustainable Development Strategy.” </w:t>
      </w:r>
      <w:r w:rsidRPr="00BB546E">
        <w:rPr>
          <w:rFonts w:ascii="Times New Roman" w:hAnsi="Times New Roman" w:cs="Times New Roman"/>
          <w:i/>
          <w:iCs/>
          <w:noProof/>
          <w:kern w:val="0"/>
          <w:sz w:val="20"/>
          <w:szCs w:val="20"/>
        </w:rPr>
        <w:t>Federal Government</w:t>
      </w:r>
      <w:r w:rsidRPr="00BB546E">
        <w:rPr>
          <w:rFonts w:ascii="Times New Roman" w:hAnsi="Times New Roman" w:cs="Times New Roman"/>
          <w:noProof/>
          <w:kern w:val="0"/>
          <w:sz w:val="20"/>
          <w:szCs w:val="20"/>
        </w:rPr>
        <w:t xml:space="preserve"> 2022. Retrieved (https://www.bundesregierung.de/breg-en/issues/sustainability/germany-s-sustainable-development-strategy-354566?).</w:t>
      </w:r>
    </w:p>
    <w:p w14:paraId="72CE6902" w14:textId="77777777" w:rsidR="00B211A1" w:rsidRPr="007116FC" w:rsidRDefault="00B211A1" w:rsidP="0098279E">
      <w:pPr>
        <w:widowControl w:val="0"/>
        <w:autoSpaceDE w:val="0"/>
        <w:autoSpaceDN w:val="0"/>
        <w:adjustRightInd w:val="0"/>
        <w:spacing w:line="240" w:lineRule="auto"/>
        <w:ind w:left="720" w:hanging="720"/>
        <w:jc w:val="both"/>
        <w:rPr>
          <w:rFonts w:ascii="Times New Roman" w:hAnsi="Times New Roman" w:cs="Times New Roman"/>
          <w:noProof/>
          <w:kern w:val="0"/>
          <w:sz w:val="20"/>
          <w:szCs w:val="20"/>
        </w:rPr>
      </w:pPr>
      <w:r w:rsidRPr="007116FC">
        <w:rPr>
          <w:rFonts w:ascii="Times New Roman" w:hAnsi="Times New Roman" w:cs="Times New Roman"/>
          <w:noProof/>
          <w:kern w:val="0"/>
          <w:sz w:val="20"/>
          <w:szCs w:val="20"/>
        </w:rPr>
        <w:t xml:space="preserve">kompasiana. 2024. “Peran China Dalam Sistem Moneter Internasional: Respon Terhadap Pandemi Covid-19.” </w:t>
      </w:r>
      <w:r w:rsidRPr="007116FC">
        <w:rPr>
          <w:rFonts w:ascii="Times New Roman" w:hAnsi="Times New Roman" w:cs="Times New Roman"/>
          <w:i/>
          <w:iCs/>
          <w:noProof/>
          <w:kern w:val="0"/>
          <w:sz w:val="20"/>
          <w:szCs w:val="20"/>
        </w:rPr>
        <w:t>Kompasiana</w:t>
      </w:r>
      <w:r w:rsidRPr="007116FC">
        <w:rPr>
          <w:rFonts w:ascii="Times New Roman" w:hAnsi="Times New Roman" w:cs="Times New Roman"/>
          <w:noProof/>
          <w:kern w:val="0"/>
          <w:sz w:val="20"/>
          <w:szCs w:val="20"/>
        </w:rPr>
        <w:t xml:space="preserve">. Retrieved </w:t>
      </w:r>
      <w:r w:rsidRPr="007116FC">
        <w:rPr>
          <w:rFonts w:ascii="Times New Roman" w:hAnsi="Times New Roman" w:cs="Times New Roman"/>
          <w:noProof/>
          <w:kern w:val="0"/>
          <w:sz w:val="20"/>
          <w:szCs w:val="20"/>
        </w:rPr>
        <w:lastRenderedPageBreak/>
        <w:t>(https://www.kompasiana.com/saraharzaty9847/66077e2d147093120a3e59d2/peran-china-dalam-sistem-moneter-internasional-respon-terhadap-pandemi-covid-19?page=1&amp;page_images=1).</w:t>
      </w:r>
    </w:p>
    <w:p w14:paraId="739F62B7" w14:textId="77777777" w:rsidR="00B211A1" w:rsidRPr="00BB546E" w:rsidRDefault="00B211A1" w:rsidP="0098279E">
      <w:pPr>
        <w:widowControl w:val="0"/>
        <w:autoSpaceDE w:val="0"/>
        <w:autoSpaceDN w:val="0"/>
        <w:adjustRightInd w:val="0"/>
        <w:spacing w:line="240" w:lineRule="auto"/>
        <w:ind w:left="720" w:hanging="720"/>
        <w:jc w:val="both"/>
        <w:rPr>
          <w:rFonts w:ascii="Times New Roman" w:hAnsi="Times New Roman" w:cs="Times New Roman"/>
          <w:noProof/>
          <w:kern w:val="0"/>
          <w:sz w:val="20"/>
          <w:szCs w:val="20"/>
        </w:rPr>
      </w:pPr>
      <w:r w:rsidRPr="00BB546E">
        <w:rPr>
          <w:rFonts w:ascii="Times New Roman" w:hAnsi="Times New Roman" w:cs="Times New Roman"/>
          <w:noProof/>
          <w:kern w:val="0"/>
          <w:sz w:val="20"/>
          <w:szCs w:val="20"/>
        </w:rPr>
        <w:t xml:space="preserve">Purwowidhu, CS. 2024. “Dorong Inovasi Pendanaan SDGs 2030, Ini Upaya Pemerintah.” </w:t>
      </w:r>
      <w:r w:rsidRPr="00BB546E">
        <w:rPr>
          <w:rFonts w:ascii="Times New Roman" w:hAnsi="Times New Roman" w:cs="Times New Roman"/>
          <w:i/>
          <w:iCs/>
          <w:noProof/>
          <w:kern w:val="0"/>
          <w:sz w:val="20"/>
          <w:szCs w:val="20"/>
        </w:rPr>
        <w:t>MediaKeuangan</w:t>
      </w:r>
      <w:r w:rsidRPr="00BB546E">
        <w:rPr>
          <w:rFonts w:ascii="Times New Roman" w:hAnsi="Times New Roman" w:cs="Times New Roman"/>
          <w:noProof/>
          <w:kern w:val="0"/>
          <w:sz w:val="20"/>
          <w:szCs w:val="20"/>
        </w:rPr>
        <w:t>. Retrieved (https://mediakeuangan.kemenkeu.go.id/article/show/dorong-inovasi-pendanaan-sdgs-2030-ini-upaya-pemerintah?).</w:t>
      </w:r>
    </w:p>
    <w:p w14:paraId="449B0363" w14:textId="77777777" w:rsidR="00B211A1" w:rsidRPr="00BB546E" w:rsidRDefault="00B211A1" w:rsidP="0098279E">
      <w:pPr>
        <w:widowControl w:val="0"/>
        <w:autoSpaceDE w:val="0"/>
        <w:autoSpaceDN w:val="0"/>
        <w:adjustRightInd w:val="0"/>
        <w:spacing w:line="240" w:lineRule="auto"/>
        <w:ind w:left="720" w:hanging="720"/>
        <w:jc w:val="both"/>
        <w:rPr>
          <w:rFonts w:ascii="Times New Roman" w:hAnsi="Times New Roman" w:cs="Times New Roman"/>
          <w:noProof/>
          <w:kern w:val="0"/>
          <w:sz w:val="20"/>
          <w:szCs w:val="20"/>
        </w:rPr>
      </w:pPr>
      <w:r w:rsidRPr="00BB546E">
        <w:rPr>
          <w:rFonts w:ascii="Times New Roman" w:hAnsi="Times New Roman" w:cs="Times New Roman"/>
          <w:noProof/>
          <w:kern w:val="0"/>
          <w:sz w:val="20"/>
          <w:szCs w:val="20"/>
        </w:rPr>
        <w:t xml:space="preserve">Reni Saptati D.I. n.d. “Sukuk Negara: Berkontribusi Untuk Pembangunan Indonesia Dan Diakui Dunia.” </w:t>
      </w:r>
      <w:r w:rsidRPr="00BB546E">
        <w:rPr>
          <w:rFonts w:ascii="Times New Roman" w:hAnsi="Times New Roman" w:cs="Times New Roman"/>
          <w:i/>
          <w:iCs/>
          <w:noProof/>
          <w:kern w:val="0"/>
          <w:sz w:val="20"/>
          <w:szCs w:val="20"/>
        </w:rPr>
        <w:t>MK+</w:t>
      </w:r>
      <w:r w:rsidRPr="00BB546E">
        <w:rPr>
          <w:rFonts w:ascii="Times New Roman" w:hAnsi="Times New Roman" w:cs="Times New Roman"/>
          <w:noProof/>
          <w:kern w:val="0"/>
          <w:sz w:val="20"/>
          <w:szCs w:val="20"/>
        </w:rPr>
        <w:t>. Retrieved October 25, 2024 (https://mediakeuangan.kemenkeu.go.id/article/show/sukuk-negara-berkontribusi-untuk-pembangunan-indonesia-dan-diakui-dunia).</w:t>
      </w:r>
    </w:p>
    <w:p w14:paraId="09DDBF04" w14:textId="77777777" w:rsidR="00B211A1" w:rsidRPr="00BB546E" w:rsidRDefault="00B211A1" w:rsidP="0098279E">
      <w:pPr>
        <w:widowControl w:val="0"/>
        <w:autoSpaceDE w:val="0"/>
        <w:autoSpaceDN w:val="0"/>
        <w:adjustRightInd w:val="0"/>
        <w:spacing w:line="240" w:lineRule="auto"/>
        <w:ind w:left="720" w:hanging="720"/>
        <w:jc w:val="both"/>
        <w:rPr>
          <w:rFonts w:ascii="Times New Roman" w:hAnsi="Times New Roman" w:cs="Times New Roman"/>
          <w:noProof/>
          <w:sz w:val="20"/>
          <w:szCs w:val="20"/>
        </w:rPr>
      </w:pPr>
      <w:r w:rsidRPr="00BB546E">
        <w:rPr>
          <w:rFonts w:ascii="Times New Roman" w:hAnsi="Times New Roman" w:cs="Times New Roman"/>
          <w:noProof/>
          <w:kern w:val="0"/>
          <w:sz w:val="20"/>
          <w:szCs w:val="20"/>
        </w:rPr>
        <w:t xml:space="preserve">universitas indinesia. 2023. “Lima Hal Penting Dalam Kebijakan Moneter Dan Keuangan Menuju Indonesia Emas 2045.” </w:t>
      </w:r>
      <w:r w:rsidRPr="00BB546E">
        <w:rPr>
          <w:rFonts w:ascii="Times New Roman" w:hAnsi="Times New Roman" w:cs="Times New Roman"/>
          <w:i/>
          <w:iCs/>
          <w:noProof/>
          <w:kern w:val="0"/>
          <w:sz w:val="20"/>
          <w:szCs w:val="20"/>
        </w:rPr>
        <w:t>Universitas Indinesia</w:t>
      </w:r>
      <w:r w:rsidRPr="00BB546E">
        <w:rPr>
          <w:rFonts w:ascii="Times New Roman" w:hAnsi="Times New Roman" w:cs="Times New Roman"/>
          <w:noProof/>
          <w:kern w:val="0"/>
          <w:sz w:val="20"/>
          <w:szCs w:val="20"/>
        </w:rPr>
        <w:t>. Retrieved (https://www.ui.ac.id/lima-hal-penting-dalam-kebijakan-moneter-dan-keuangan-menuju-indonesia-emas-2045/?utm_source=chatgpt.com).</w:t>
      </w:r>
    </w:p>
    <w:p w14:paraId="0CD25715" w14:textId="7118E517" w:rsidR="00C6734A" w:rsidRPr="00BB546E" w:rsidRDefault="00B211A1" w:rsidP="0098279E">
      <w:pPr>
        <w:spacing w:line="240" w:lineRule="auto"/>
        <w:ind w:left="720" w:hanging="720"/>
        <w:jc w:val="both"/>
        <w:rPr>
          <w:rFonts w:ascii="Times New Roman" w:hAnsi="Times New Roman" w:cs="Times New Roman"/>
          <w:sz w:val="20"/>
          <w:szCs w:val="20"/>
        </w:rPr>
      </w:pPr>
      <w:r w:rsidRPr="00BB546E">
        <w:rPr>
          <w:rFonts w:ascii="Times New Roman" w:hAnsi="Times New Roman" w:cs="Times New Roman"/>
          <w:sz w:val="20"/>
          <w:szCs w:val="20"/>
        </w:rPr>
        <w:t xml:space="preserve"> </w:t>
      </w:r>
    </w:p>
    <w:sectPr w:rsidR="00C6734A" w:rsidRPr="00BB546E" w:rsidSect="0098279E">
      <w:footerReference w:type="default" r:id="rId9"/>
      <w:pgSz w:w="11906" w:h="16838" w:code="9"/>
      <w:pgMar w:top="1701" w:right="1418" w:bottom="1418" w:left="1418" w:header="709" w:footer="709" w:gutter="0"/>
      <w:pgNumType w:start="9"/>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D447E9" w14:textId="77777777" w:rsidR="00D74719" w:rsidRDefault="00D74719" w:rsidP="00C06ED5">
      <w:pPr>
        <w:spacing w:after="0" w:line="240" w:lineRule="auto"/>
      </w:pPr>
      <w:r>
        <w:separator/>
      </w:r>
    </w:p>
  </w:endnote>
  <w:endnote w:type="continuationSeparator" w:id="0">
    <w:p w14:paraId="6071E7AF" w14:textId="77777777" w:rsidR="00D74719" w:rsidRDefault="00D74719" w:rsidP="00C06E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8184034"/>
      <w:docPartObj>
        <w:docPartGallery w:val="Page Numbers (Bottom of Page)"/>
        <w:docPartUnique/>
      </w:docPartObj>
    </w:sdtPr>
    <w:sdtEndPr>
      <w:rPr>
        <w:noProof/>
      </w:rPr>
    </w:sdtEndPr>
    <w:sdtContent>
      <w:p w14:paraId="20E543B4" w14:textId="61B76AD9" w:rsidR="0098279E" w:rsidRDefault="0098279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1FEA124" w14:textId="77777777" w:rsidR="0098279E" w:rsidRDefault="009827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214763" w14:textId="77777777" w:rsidR="00D74719" w:rsidRDefault="00D74719" w:rsidP="00C06ED5">
      <w:pPr>
        <w:spacing w:after="0" w:line="240" w:lineRule="auto"/>
      </w:pPr>
      <w:r>
        <w:separator/>
      </w:r>
    </w:p>
  </w:footnote>
  <w:footnote w:type="continuationSeparator" w:id="0">
    <w:p w14:paraId="3A191E80" w14:textId="77777777" w:rsidR="00D74719" w:rsidRDefault="00D74719" w:rsidP="00C06ED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437ED"/>
    <w:multiLevelType w:val="multilevel"/>
    <w:tmpl w:val="13062FA0"/>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3947BE7"/>
    <w:multiLevelType w:val="multilevel"/>
    <w:tmpl w:val="13062FA0"/>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396418D"/>
    <w:multiLevelType w:val="hybridMultilevel"/>
    <w:tmpl w:val="F3583380"/>
    <w:lvl w:ilvl="0" w:tplc="519A1B64">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0548580A"/>
    <w:multiLevelType w:val="hybridMultilevel"/>
    <w:tmpl w:val="A23EB750"/>
    <w:lvl w:ilvl="0" w:tplc="94364B7A">
      <w:start w:val="1"/>
      <w:numFmt w:val="decimal"/>
      <w:lvlText w:val="3.%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4" w15:restartNumberingAfterBreak="0">
    <w:nsid w:val="05F77B23"/>
    <w:multiLevelType w:val="multilevel"/>
    <w:tmpl w:val="DC5EC180"/>
    <w:lvl w:ilvl="0">
      <w:start w:val="4"/>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061B7031"/>
    <w:multiLevelType w:val="hybridMultilevel"/>
    <w:tmpl w:val="4FFC0676"/>
    <w:lvl w:ilvl="0" w:tplc="7A3CBC26">
      <w:start w:val="2"/>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07D228F1"/>
    <w:multiLevelType w:val="hybridMultilevel"/>
    <w:tmpl w:val="2F44A55C"/>
    <w:lvl w:ilvl="0" w:tplc="E18C4B7A">
      <w:start w:val="2"/>
      <w:numFmt w:val="decimal"/>
      <w:lvlText w:val="2 .%1"/>
      <w:lvlJc w:val="left"/>
      <w:pPr>
        <w:ind w:left="36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7" w15:restartNumberingAfterBreak="0">
    <w:nsid w:val="089E49A1"/>
    <w:multiLevelType w:val="hybridMultilevel"/>
    <w:tmpl w:val="E7AC374C"/>
    <w:lvl w:ilvl="0" w:tplc="3A90297A">
      <w:start w:val="10"/>
      <w:numFmt w:val="decimal"/>
      <w:lvlText w:val="2 .%1"/>
      <w:lvlJc w:val="left"/>
      <w:pPr>
        <w:ind w:left="783" w:hanging="360"/>
      </w:pPr>
      <w:rPr>
        <w:rFonts w:hint="default"/>
      </w:rPr>
    </w:lvl>
    <w:lvl w:ilvl="1" w:tplc="38090019" w:tentative="1">
      <w:start w:val="1"/>
      <w:numFmt w:val="lowerLetter"/>
      <w:lvlText w:val="%2."/>
      <w:lvlJc w:val="left"/>
      <w:pPr>
        <w:ind w:left="1503" w:hanging="360"/>
      </w:pPr>
    </w:lvl>
    <w:lvl w:ilvl="2" w:tplc="3809001B" w:tentative="1">
      <w:start w:val="1"/>
      <w:numFmt w:val="lowerRoman"/>
      <w:lvlText w:val="%3."/>
      <w:lvlJc w:val="right"/>
      <w:pPr>
        <w:ind w:left="2223" w:hanging="180"/>
      </w:pPr>
    </w:lvl>
    <w:lvl w:ilvl="3" w:tplc="3809000F" w:tentative="1">
      <w:start w:val="1"/>
      <w:numFmt w:val="decimal"/>
      <w:lvlText w:val="%4."/>
      <w:lvlJc w:val="left"/>
      <w:pPr>
        <w:ind w:left="2943" w:hanging="360"/>
      </w:pPr>
    </w:lvl>
    <w:lvl w:ilvl="4" w:tplc="38090019" w:tentative="1">
      <w:start w:val="1"/>
      <w:numFmt w:val="lowerLetter"/>
      <w:lvlText w:val="%5."/>
      <w:lvlJc w:val="left"/>
      <w:pPr>
        <w:ind w:left="3663" w:hanging="360"/>
      </w:pPr>
    </w:lvl>
    <w:lvl w:ilvl="5" w:tplc="3809001B" w:tentative="1">
      <w:start w:val="1"/>
      <w:numFmt w:val="lowerRoman"/>
      <w:lvlText w:val="%6."/>
      <w:lvlJc w:val="right"/>
      <w:pPr>
        <w:ind w:left="4383" w:hanging="180"/>
      </w:pPr>
    </w:lvl>
    <w:lvl w:ilvl="6" w:tplc="3809000F" w:tentative="1">
      <w:start w:val="1"/>
      <w:numFmt w:val="decimal"/>
      <w:lvlText w:val="%7."/>
      <w:lvlJc w:val="left"/>
      <w:pPr>
        <w:ind w:left="5103" w:hanging="360"/>
      </w:pPr>
    </w:lvl>
    <w:lvl w:ilvl="7" w:tplc="38090019" w:tentative="1">
      <w:start w:val="1"/>
      <w:numFmt w:val="lowerLetter"/>
      <w:lvlText w:val="%8."/>
      <w:lvlJc w:val="left"/>
      <w:pPr>
        <w:ind w:left="5823" w:hanging="360"/>
      </w:pPr>
    </w:lvl>
    <w:lvl w:ilvl="8" w:tplc="3809001B" w:tentative="1">
      <w:start w:val="1"/>
      <w:numFmt w:val="lowerRoman"/>
      <w:lvlText w:val="%9."/>
      <w:lvlJc w:val="right"/>
      <w:pPr>
        <w:ind w:left="6543" w:hanging="180"/>
      </w:pPr>
    </w:lvl>
  </w:abstractNum>
  <w:abstractNum w:abstractNumId="8" w15:restartNumberingAfterBreak="0">
    <w:nsid w:val="0DD54A24"/>
    <w:multiLevelType w:val="hybridMultilevel"/>
    <w:tmpl w:val="14CC28BE"/>
    <w:lvl w:ilvl="0" w:tplc="B8D2D64A">
      <w:start w:val="5"/>
      <w:numFmt w:val="decimal"/>
      <w:lvlText w:val="4.%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12230876"/>
    <w:multiLevelType w:val="hybridMultilevel"/>
    <w:tmpl w:val="122C95A2"/>
    <w:lvl w:ilvl="0" w:tplc="519A1B64">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0" w15:restartNumberingAfterBreak="0">
    <w:nsid w:val="150C1864"/>
    <w:multiLevelType w:val="hybridMultilevel"/>
    <w:tmpl w:val="DD546E7C"/>
    <w:lvl w:ilvl="0" w:tplc="D1C878DE">
      <w:start w:val="4"/>
      <w:numFmt w:val="decimal"/>
      <w:lvlText w:val="2 .%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15:restartNumberingAfterBreak="0">
    <w:nsid w:val="173E691A"/>
    <w:multiLevelType w:val="hybridMultilevel"/>
    <w:tmpl w:val="AB4E643E"/>
    <w:lvl w:ilvl="0" w:tplc="1794EC3C">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15:restartNumberingAfterBreak="0">
    <w:nsid w:val="176E1798"/>
    <w:multiLevelType w:val="multilevel"/>
    <w:tmpl w:val="9E42E1B8"/>
    <w:lvl w:ilvl="0">
      <w:start w:val="1"/>
      <w:numFmt w:val="decimal"/>
      <w:lvlText w:val="2 .%1"/>
      <w:lvlJc w:val="left"/>
      <w:pPr>
        <w:ind w:left="720" w:hanging="360"/>
      </w:pPr>
      <w:rPr>
        <w:rFonts w:hint="default"/>
      </w:rPr>
    </w:lvl>
    <w:lvl w:ilvl="1">
      <w:start w:val="1"/>
      <w:numFmt w:val="decimal"/>
      <w:lvlText w:val="2 .%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18B219B8"/>
    <w:multiLevelType w:val="hybridMultilevel"/>
    <w:tmpl w:val="4B4277FA"/>
    <w:lvl w:ilvl="0" w:tplc="3A90297A">
      <w:start w:val="10"/>
      <w:numFmt w:val="decimal"/>
      <w:lvlText w:val="2 .%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95A4134"/>
    <w:multiLevelType w:val="multilevel"/>
    <w:tmpl w:val="383EFA90"/>
    <w:lvl w:ilvl="0">
      <w:start w:val="2"/>
      <w:numFmt w:val="decimal"/>
      <w:lvlText w:val="%1"/>
      <w:lvlJc w:val="left"/>
      <w:pPr>
        <w:ind w:left="420" w:hanging="420"/>
      </w:pPr>
      <w:rPr>
        <w:rFonts w:hint="default"/>
      </w:rPr>
    </w:lvl>
    <w:lvl w:ilvl="1">
      <w:start w:val="10"/>
      <w:numFmt w:val="decimal"/>
      <w:lvlText w:val="%1.%2"/>
      <w:lvlJc w:val="left"/>
      <w:pPr>
        <w:ind w:left="42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5" w15:restartNumberingAfterBreak="0">
    <w:nsid w:val="1C947D85"/>
    <w:multiLevelType w:val="hybridMultilevel"/>
    <w:tmpl w:val="0D583644"/>
    <w:lvl w:ilvl="0" w:tplc="B52CCD16">
      <w:start w:val="1"/>
      <w:numFmt w:val="decimal"/>
      <w:lvlText w:val="4.%1"/>
      <w:lvlJc w:val="left"/>
      <w:pPr>
        <w:ind w:left="36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16" w15:restartNumberingAfterBreak="0">
    <w:nsid w:val="1D712097"/>
    <w:multiLevelType w:val="multilevel"/>
    <w:tmpl w:val="DC5EC180"/>
    <w:lvl w:ilvl="0">
      <w:start w:val="4"/>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7" w15:restartNumberingAfterBreak="0">
    <w:nsid w:val="25480342"/>
    <w:multiLevelType w:val="hybridMultilevel"/>
    <w:tmpl w:val="4C8ACB44"/>
    <w:lvl w:ilvl="0" w:tplc="1B54C5AA">
      <w:start w:val="1"/>
      <w:numFmt w:val="decimal"/>
      <w:lvlText w:val="2 .%1"/>
      <w:lvlJc w:val="left"/>
      <w:pPr>
        <w:ind w:left="1146" w:hanging="360"/>
      </w:pPr>
      <w:rPr>
        <w:rFonts w:hint="default"/>
      </w:rPr>
    </w:lvl>
    <w:lvl w:ilvl="1" w:tplc="38090019" w:tentative="1">
      <w:start w:val="1"/>
      <w:numFmt w:val="lowerLetter"/>
      <w:lvlText w:val="%2."/>
      <w:lvlJc w:val="left"/>
      <w:pPr>
        <w:ind w:left="1866" w:hanging="360"/>
      </w:pPr>
    </w:lvl>
    <w:lvl w:ilvl="2" w:tplc="3809001B" w:tentative="1">
      <w:start w:val="1"/>
      <w:numFmt w:val="lowerRoman"/>
      <w:lvlText w:val="%3."/>
      <w:lvlJc w:val="right"/>
      <w:pPr>
        <w:ind w:left="2586" w:hanging="180"/>
      </w:pPr>
    </w:lvl>
    <w:lvl w:ilvl="3" w:tplc="3809000F" w:tentative="1">
      <w:start w:val="1"/>
      <w:numFmt w:val="decimal"/>
      <w:lvlText w:val="%4."/>
      <w:lvlJc w:val="left"/>
      <w:pPr>
        <w:ind w:left="3306" w:hanging="360"/>
      </w:pPr>
    </w:lvl>
    <w:lvl w:ilvl="4" w:tplc="38090019" w:tentative="1">
      <w:start w:val="1"/>
      <w:numFmt w:val="lowerLetter"/>
      <w:lvlText w:val="%5."/>
      <w:lvlJc w:val="left"/>
      <w:pPr>
        <w:ind w:left="4026" w:hanging="360"/>
      </w:pPr>
    </w:lvl>
    <w:lvl w:ilvl="5" w:tplc="3809001B" w:tentative="1">
      <w:start w:val="1"/>
      <w:numFmt w:val="lowerRoman"/>
      <w:lvlText w:val="%6."/>
      <w:lvlJc w:val="right"/>
      <w:pPr>
        <w:ind w:left="4746" w:hanging="180"/>
      </w:pPr>
    </w:lvl>
    <w:lvl w:ilvl="6" w:tplc="3809000F" w:tentative="1">
      <w:start w:val="1"/>
      <w:numFmt w:val="decimal"/>
      <w:lvlText w:val="%7."/>
      <w:lvlJc w:val="left"/>
      <w:pPr>
        <w:ind w:left="5466" w:hanging="360"/>
      </w:pPr>
    </w:lvl>
    <w:lvl w:ilvl="7" w:tplc="38090019" w:tentative="1">
      <w:start w:val="1"/>
      <w:numFmt w:val="lowerLetter"/>
      <w:lvlText w:val="%8."/>
      <w:lvlJc w:val="left"/>
      <w:pPr>
        <w:ind w:left="6186" w:hanging="360"/>
      </w:pPr>
    </w:lvl>
    <w:lvl w:ilvl="8" w:tplc="3809001B" w:tentative="1">
      <w:start w:val="1"/>
      <w:numFmt w:val="lowerRoman"/>
      <w:lvlText w:val="%9."/>
      <w:lvlJc w:val="right"/>
      <w:pPr>
        <w:ind w:left="6906" w:hanging="180"/>
      </w:pPr>
    </w:lvl>
  </w:abstractNum>
  <w:abstractNum w:abstractNumId="18" w15:restartNumberingAfterBreak="0">
    <w:nsid w:val="255A33FF"/>
    <w:multiLevelType w:val="hybridMultilevel"/>
    <w:tmpl w:val="CCFEBBB8"/>
    <w:lvl w:ilvl="0" w:tplc="8898C81C">
      <w:start w:val="3"/>
      <w:numFmt w:val="decimal"/>
      <w:lvlText w:val="%1."/>
      <w:lvlJc w:val="left"/>
      <w:pPr>
        <w:ind w:left="1446" w:hanging="360"/>
      </w:pPr>
      <w:rPr>
        <w:rFonts w:hint="default"/>
      </w:rPr>
    </w:lvl>
    <w:lvl w:ilvl="1" w:tplc="38090019" w:tentative="1">
      <w:start w:val="1"/>
      <w:numFmt w:val="lowerLetter"/>
      <w:lvlText w:val="%2."/>
      <w:lvlJc w:val="left"/>
      <w:pPr>
        <w:ind w:left="2166" w:hanging="360"/>
      </w:pPr>
    </w:lvl>
    <w:lvl w:ilvl="2" w:tplc="3809001B" w:tentative="1">
      <w:start w:val="1"/>
      <w:numFmt w:val="lowerRoman"/>
      <w:lvlText w:val="%3."/>
      <w:lvlJc w:val="right"/>
      <w:pPr>
        <w:ind w:left="2886" w:hanging="180"/>
      </w:pPr>
    </w:lvl>
    <w:lvl w:ilvl="3" w:tplc="3809000F" w:tentative="1">
      <w:start w:val="1"/>
      <w:numFmt w:val="decimal"/>
      <w:lvlText w:val="%4."/>
      <w:lvlJc w:val="left"/>
      <w:pPr>
        <w:ind w:left="3606" w:hanging="360"/>
      </w:pPr>
    </w:lvl>
    <w:lvl w:ilvl="4" w:tplc="38090019" w:tentative="1">
      <w:start w:val="1"/>
      <w:numFmt w:val="lowerLetter"/>
      <w:lvlText w:val="%5."/>
      <w:lvlJc w:val="left"/>
      <w:pPr>
        <w:ind w:left="4326" w:hanging="360"/>
      </w:pPr>
    </w:lvl>
    <w:lvl w:ilvl="5" w:tplc="3809001B" w:tentative="1">
      <w:start w:val="1"/>
      <w:numFmt w:val="lowerRoman"/>
      <w:lvlText w:val="%6."/>
      <w:lvlJc w:val="right"/>
      <w:pPr>
        <w:ind w:left="5046" w:hanging="180"/>
      </w:pPr>
    </w:lvl>
    <w:lvl w:ilvl="6" w:tplc="3809000F" w:tentative="1">
      <w:start w:val="1"/>
      <w:numFmt w:val="decimal"/>
      <w:lvlText w:val="%7."/>
      <w:lvlJc w:val="left"/>
      <w:pPr>
        <w:ind w:left="5766" w:hanging="360"/>
      </w:pPr>
    </w:lvl>
    <w:lvl w:ilvl="7" w:tplc="38090019" w:tentative="1">
      <w:start w:val="1"/>
      <w:numFmt w:val="lowerLetter"/>
      <w:lvlText w:val="%8."/>
      <w:lvlJc w:val="left"/>
      <w:pPr>
        <w:ind w:left="6486" w:hanging="360"/>
      </w:pPr>
    </w:lvl>
    <w:lvl w:ilvl="8" w:tplc="3809001B" w:tentative="1">
      <w:start w:val="1"/>
      <w:numFmt w:val="lowerRoman"/>
      <w:lvlText w:val="%9."/>
      <w:lvlJc w:val="right"/>
      <w:pPr>
        <w:ind w:left="7206" w:hanging="180"/>
      </w:pPr>
    </w:lvl>
  </w:abstractNum>
  <w:abstractNum w:abstractNumId="19" w15:restartNumberingAfterBreak="0">
    <w:nsid w:val="27801EC2"/>
    <w:multiLevelType w:val="hybridMultilevel"/>
    <w:tmpl w:val="457AC320"/>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0" w15:restartNumberingAfterBreak="0">
    <w:nsid w:val="317F05CA"/>
    <w:multiLevelType w:val="hybridMultilevel"/>
    <w:tmpl w:val="9B688E18"/>
    <w:lvl w:ilvl="0" w:tplc="1B54C5AA">
      <w:start w:val="1"/>
      <w:numFmt w:val="decimal"/>
      <w:lvlText w:val="2 .%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1" w15:restartNumberingAfterBreak="0">
    <w:nsid w:val="34E03290"/>
    <w:multiLevelType w:val="hybridMultilevel"/>
    <w:tmpl w:val="0860CADA"/>
    <w:lvl w:ilvl="0" w:tplc="B52CCD16">
      <w:start w:val="1"/>
      <w:numFmt w:val="decimal"/>
      <w:lvlText w:val="4.%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2" w15:restartNumberingAfterBreak="0">
    <w:nsid w:val="36BF0532"/>
    <w:multiLevelType w:val="hybridMultilevel"/>
    <w:tmpl w:val="3CA62C2E"/>
    <w:lvl w:ilvl="0" w:tplc="D1C878DE">
      <w:start w:val="4"/>
      <w:numFmt w:val="decimal"/>
      <w:lvlText w:val="2 .%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3" w15:restartNumberingAfterBreak="0">
    <w:nsid w:val="3B642E5B"/>
    <w:multiLevelType w:val="hybridMultilevel"/>
    <w:tmpl w:val="408800F2"/>
    <w:lvl w:ilvl="0" w:tplc="BAD28628">
      <w:start w:val="1"/>
      <w:numFmt w:val="decimal"/>
      <w:lvlText w:val="2 %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4" w15:restartNumberingAfterBreak="0">
    <w:nsid w:val="3C815995"/>
    <w:multiLevelType w:val="multilevel"/>
    <w:tmpl w:val="DC5EC180"/>
    <w:lvl w:ilvl="0">
      <w:start w:val="4"/>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5" w15:restartNumberingAfterBreak="0">
    <w:nsid w:val="3DCF7F25"/>
    <w:multiLevelType w:val="hybridMultilevel"/>
    <w:tmpl w:val="90101E90"/>
    <w:lvl w:ilvl="0" w:tplc="BAD28628">
      <w:start w:val="1"/>
      <w:numFmt w:val="decimal"/>
      <w:lvlText w:val="2 %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6" w15:restartNumberingAfterBreak="0">
    <w:nsid w:val="3E494469"/>
    <w:multiLevelType w:val="hybridMultilevel"/>
    <w:tmpl w:val="81C61E66"/>
    <w:lvl w:ilvl="0" w:tplc="EAD6D184">
      <w:start w:val="12"/>
      <w:numFmt w:val="decimal"/>
      <w:lvlText w:val="2 .%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7" w15:restartNumberingAfterBreak="0">
    <w:nsid w:val="404317F6"/>
    <w:multiLevelType w:val="multilevel"/>
    <w:tmpl w:val="C5F2489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23C4237"/>
    <w:multiLevelType w:val="hybridMultilevel"/>
    <w:tmpl w:val="41B647B8"/>
    <w:lvl w:ilvl="0" w:tplc="ABDED7B4">
      <w:start w:val="3"/>
      <w:numFmt w:val="decimal"/>
      <w:lvlText w:val="4.%1"/>
      <w:lvlJc w:val="left"/>
      <w:pPr>
        <w:ind w:left="36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29" w15:restartNumberingAfterBreak="0">
    <w:nsid w:val="485809D6"/>
    <w:multiLevelType w:val="multilevel"/>
    <w:tmpl w:val="48DA5F3A"/>
    <w:lvl w:ilvl="0">
      <w:start w:val="1"/>
      <w:numFmt w:val="decimal"/>
      <w:lvlText w:val="%1."/>
      <w:lvlJc w:val="left"/>
      <w:pPr>
        <w:ind w:left="360" w:hanging="360"/>
      </w:pPr>
      <w:rPr>
        <w:rFonts w:hint="default"/>
      </w:rPr>
    </w:lvl>
    <w:lvl w:ilvl="1">
      <w:start w:val="1"/>
      <w:numFmt w:val="decimal"/>
      <w:lvlText w:val="2 .%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0" w15:restartNumberingAfterBreak="0">
    <w:nsid w:val="48FE7DDC"/>
    <w:multiLevelType w:val="hybridMultilevel"/>
    <w:tmpl w:val="86886F1C"/>
    <w:lvl w:ilvl="0" w:tplc="94364B7A">
      <w:start w:val="1"/>
      <w:numFmt w:val="decimal"/>
      <w:lvlText w:val="3.%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31" w15:restartNumberingAfterBreak="0">
    <w:nsid w:val="4B357D0A"/>
    <w:multiLevelType w:val="multilevel"/>
    <w:tmpl w:val="5E78B9F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0994DE9"/>
    <w:multiLevelType w:val="multilevel"/>
    <w:tmpl w:val="6A9A26A4"/>
    <w:lvl w:ilvl="0">
      <w:start w:val="2"/>
      <w:numFmt w:val="decimal"/>
      <w:lvlText w:val="%1"/>
      <w:lvlJc w:val="left"/>
      <w:pPr>
        <w:ind w:left="420" w:hanging="420"/>
      </w:pPr>
      <w:rPr>
        <w:rFonts w:hint="default"/>
      </w:rPr>
    </w:lvl>
    <w:lvl w:ilvl="1">
      <w:start w:val="20"/>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3" w15:restartNumberingAfterBreak="0">
    <w:nsid w:val="57FC2DD8"/>
    <w:multiLevelType w:val="hybridMultilevel"/>
    <w:tmpl w:val="C25017F2"/>
    <w:lvl w:ilvl="0" w:tplc="7A406C2A">
      <w:start w:val="2"/>
      <w:numFmt w:val="decimal"/>
      <w:lvlText w:val="4.%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4" w15:restartNumberingAfterBreak="0">
    <w:nsid w:val="5AE679F6"/>
    <w:multiLevelType w:val="multilevel"/>
    <w:tmpl w:val="3B629D4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DDC0545"/>
    <w:multiLevelType w:val="hybridMultilevel"/>
    <w:tmpl w:val="D23618B0"/>
    <w:lvl w:ilvl="0" w:tplc="7A406C2A">
      <w:start w:val="2"/>
      <w:numFmt w:val="decimal"/>
      <w:lvlText w:val="4.%1"/>
      <w:lvlJc w:val="left"/>
      <w:pPr>
        <w:ind w:left="36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36" w15:restartNumberingAfterBreak="0">
    <w:nsid w:val="63EC2725"/>
    <w:multiLevelType w:val="hybridMultilevel"/>
    <w:tmpl w:val="FC1A028C"/>
    <w:lvl w:ilvl="0" w:tplc="1B54C5AA">
      <w:start w:val="1"/>
      <w:numFmt w:val="decimal"/>
      <w:lvlText w:val="2 .%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7" w15:restartNumberingAfterBreak="0">
    <w:nsid w:val="64CC40E0"/>
    <w:multiLevelType w:val="hybridMultilevel"/>
    <w:tmpl w:val="30B4F9C6"/>
    <w:lvl w:ilvl="0" w:tplc="1B54C5AA">
      <w:start w:val="1"/>
      <w:numFmt w:val="decimal"/>
      <w:lvlText w:val="2 .%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8" w15:restartNumberingAfterBreak="0">
    <w:nsid w:val="6524651C"/>
    <w:multiLevelType w:val="hybridMultilevel"/>
    <w:tmpl w:val="2A288EBE"/>
    <w:lvl w:ilvl="0" w:tplc="1B54C5AA">
      <w:start w:val="1"/>
      <w:numFmt w:val="decimal"/>
      <w:lvlText w:val="2 .%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69B174A8"/>
    <w:multiLevelType w:val="hybridMultilevel"/>
    <w:tmpl w:val="5CA23DA8"/>
    <w:lvl w:ilvl="0" w:tplc="1B54C5AA">
      <w:start w:val="1"/>
      <w:numFmt w:val="decimal"/>
      <w:lvlText w:val="2 .%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0" w15:restartNumberingAfterBreak="0">
    <w:nsid w:val="6A6165DC"/>
    <w:multiLevelType w:val="multilevel"/>
    <w:tmpl w:val="853CD58E"/>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1" w15:restartNumberingAfterBreak="0">
    <w:nsid w:val="6B707E26"/>
    <w:multiLevelType w:val="multilevel"/>
    <w:tmpl w:val="853CD58E"/>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2" w15:restartNumberingAfterBreak="0">
    <w:nsid w:val="6C885F0B"/>
    <w:multiLevelType w:val="hybridMultilevel"/>
    <w:tmpl w:val="D8A001F8"/>
    <w:lvl w:ilvl="0" w:tplc="94364B7A">
      <w:start w:val="1"/>
      <w:numFmt w:val="decimal"/>
      <w:lvlText w:val="3.%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43" w15:restartNumberingAfterBreak="0">
    <w:nsid w:val="6E9A67CC"/>
    <w:multiLevelType w:val="hybridMultilevel"/>
    <w:tmpl w:val="D918FDD2"/>
    <w:lvl w:ilvl="0" w:tplc="1B54C5AA">
      <w:start w:val="1"/>
      <w:numFmt w:val="decimal"/>
      <w:lvlText w:val="2 .%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704023F2"/>
    <w:multiLevelType w:val="multilevel"/>
    <w:tmpl w:val="89E497CC"/>
    <w:lvl w:ilvl="0">
      <w:start w:val="2"/>
      <w:numFmt w:val="decimal"/>
      <w:lvlText w:val="%1."/>
      <w:lvlJc w:val="left"/>
      <w:pPr>
        <w:ind w:left="360" w:hanging="360"/>
      </w:pPr>
      <w:rPr>
        <w:rFonts w:hint="default"/>
      </w:rPr>
    </w:lvl>
    <w:lvl w:ilvl="1">
      <w:start w:val="1"/>
      <w:numFmt w:val="decimal"/>
      <w:lvlText w:val="2 .%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5" w15:restartNumberingAfterBreak="0">
    <w:nsid w:val="733F1BA5"/>
    <w:multiLevelType w:val="hybridMultilevel"/>
    <w:tmpl w:val="B4326ED0"/>
    <w:lvl w:ilvl="0" w:tplc="38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756F66AF"/>
    <w:multiLevelType w:val="hybridMultilevel"/>
    <w:tmpl w:val="373452A0"/>
    <w:lvl w:ilvl="0" w:tplc="1B54C5AA">
      <w:start w:val="1"/>
      <w:numFmt w:val="decimal"/>
      <w:lvlText w:val="2 .%1"/>
      <w:lvlJc w:val="left"/>
      <w:pPr>
        <w:ind w:left="1866" w:hanging="360"/>
      </w:pPr>
      <w:rPr>
        <w:rFonts w:hint="default"/>
      </w:rPr>
    </w:lvl>
    <w:lvl w:ilvl="1" w:tplc="38090019" w:tentative="1">
      <w:start w:val="1"/>
      <w:numFmt w:val="lowerLetter"/>
      <w:lvlText w:val="%2."/>
      <w:lvlJc w:val="left"/>
      <w:pPr>
        <w:ind w:left="2586" w:hanging="360"/>
      </w:pPr>
    </w:lvl>
    <w:lvl w:ilvl="2" w:tplc="3809001B" w:tentative="1">
      <w:start w:val="1"/>
      <w:numFmt w:val="lowerRoman"/>
      <w:lvlText w:val="%3."/>
      <w:lvlJc w:val="right"/>
      <w:pPr>
        <w:ind w:left="3306" w:hanging="180"/>
      </w:pPr>
    </w:lvl>
    <w:lvl w:ilvl="3" w:tplc="3809000F" w:tentative="1">
      <w:start w:val="1"/>
      <w:numFmt w:val="decimal"/>
      <w:lvlText w:val="%4."/>
      <w:lvlJc w:val="left"/>
      <w:pPr>
        <w:ind w:left="4026" w:hanging="360"/>
      </w:pPr>
    </w:lvl>
    <w:lvl w:ilvl="4" w:tplc="38090019" w:tentative="1">
      <w:start w:val="1"/>
      <w:numFmt w:val="lowerLetter"/>
      <w:lvlText w:val="%5."/>
      <w:lvlJc w:val="left"/>
      <w:pPr>
        <w:ind w:left="4746" w:hanging="360"/>
      </w:pPr>
    </w:lvl>
    <w:lvl w:ilvl="5" w:tplc="3809001B" w:tentative="1">
      <w:start w:val="1"/>
      <w:numFmt w:val="lowerRoman"/>
      <w:lvlText w:val="%6."/>
      <w:lvlJc w:val="right"/>
      <w:pPr>
        <w:ind w:left="5466" w:hanging="180"/>
      </w:pPr>
    </w:lvl>
    <w:lvl w:ilvl="6" w:tplc="3809000F" w:tentative="1">
      <w:start w:val="1"/>
      <w:numFmt w:val="decimal"/>
      <w:lvlText w:val="%7."/>
      <w:lvlJc w:val="left"/>
      <w:pPr>
        <w:ind w:left="6186" w:hanging="360"/>
      </w:pPr>
    </w:lvl>
    <w:lvl w:ilvl="7" w:tplc="38090019" w:tentative="1">
      <w:start w:val="1"/>
      <w:numFmt w:val="lowerLetter"/>
      <w:lvlText w:val="%8."/>
      <w:lvlJc w:val="left"/>
      <w:pPr>
        <w:ind w:left="6906" w:hanging="360"/>
      </w:pPr>
    </w:lvl>
    <w:lvl w:ilvl="8" w:tplc="3809001B" w:tentative="1">
      <w:start w:val="1"/>
      <w:numFmt w:val="lowerRoman"/>
      <w:lvlText w:val="%9."/>
      <w:lvlJc w:val="right"/>
      <w:pPr>
        <w:ind w:left="7626" w:hanging="180"/>
      </w:pPr>
    </w:lvl>
  </w:abstractNum>
  <w:abstractNum w:abstractNumId="47" w15:restartNumberingAfterBreak="0">
    <w:nsid w:val="771C3E69"/>
    <w:multiLevelType w:val="hybridMultilevel"/>
    <w:tmpl w:val="F6B66066"/>
    <w:lvl w:ilvl="0" w:tplc="D1C878DE">
      <w:start w:val="4"/>
      <w:numFmt w:val="decimal"/>
      <w:lvlText w:val="2 .%1"/>
      <w:lvlJc w:val="left"/>
      <w:pPr>
        <w:ind w:left="36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48" w15:restartNumberingAfterBreak="0">
    <w:nsid w:val="7DBE483E"/>
    <w:multiLevelType w:val="hybridMultilevel"/>
    <w:tmpl w:val="8348C2D4"/>
    <w:lvl w:ilvl="0" w:tplc="1B54C5AA">
      <w:start w:val="1"/>
      <w:numFmt w:val="decimal"/>
      <w:lvlText w:val="2 .%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728116467">
    <w:abstractNumId w:val="12"/>
  </w:num>
  <w:num w:numId="2" w16cid:durableId="354426366">
    <w:abstractNumId w:val="27"/>
  </w:num>
  <w:num w:numId="3" w16cid:durableId="1665471480">
    <w:abstractNumId w:val="34"/>
  </w:num>
  <w:num w:numId="4" w16cid:durableId="1834488867">
    <w:abstractNumId w:val="31"/>
  </w:num>
  <w:num w:numId="5" w16cid:durableId="1554543635">
    <w:abstractNumId w:val="1"/>
  </w:num>
  <w:num w:numId="6" w16cid:durableId="832261761">
    <w:abstractNumId w:val="0"/>
  </w:num>
  <w:num w:numId="7" w16cid:durableId="1801998808">
    <w:abstractNumId w:val="11"/>
  </w:num>
  <w:num w:numId="8" w16cid:durableId="1537355480">
    <w:abstractNumId w:val="30"/>
  </w:num>
  <w:num w:numId="9" w16cid:durableId="1746150771">
    <w:abstractNumId w:val="42"/>
  </w:num>
  <w:num w:numId="10" w16cid:durableId="1548881351">
    <w:abstractNumId w:val="25"/>
  </w:num>
  <w:num w:numId="11" w16cid:durableId="670259690">
    <w:abstractNumId w:val="23"/>
  </w:num>
  <w:num w:numId="12" w16cid:durableId="583102625">
    <w:abstractNumId w:val="17"/>
  </w:num>
  <w:num w:numId="13" w16cid:durableId="897400405">
    <w:abstractNumId w:val="46"/>
  </w:num>
  <w:num w:numId="14" w16cid:durableId="212087550">
    <w:abstractNumId w:val="48"/>
  </w:num>
  <w:num w:numId="15" w16cid:durableId="1718698683">
    <w:abstractNumId w:val="20"/>
  </w:num>
  <w:num w:numId="16" w16cid:durableId="608270386">
    <w:abstractNumId w:val="36"/>
  </w:num>
  <w:num w:numId="17" w16cid:durableId="654339105">
    <w:abstractNumId w:val="47"/>
  </w:num>
  <w:num w:numId="18" w16cid:durableId="1761442841">
    <w:abstractNumId w:val="10"/>
  </w:num>
  <w:num w:numId="19" w16cid:durableId="1428624172">
    <w:abstractNumId w:val="9"/>
  </w:num>
  <w:num w:numId="20" w16cid:durableId="206534497">
    <w:abstractNumId w:val="2"/>
  </w:num>
  <w:num w:numId="21" w16cid:durableId="1426850211">
    <w:abstractNumId w:val="39"/>
  </w:num>
  <w:num w:numId="22" w16cid:durableId="150875928">
    <w:abstractNumId w:val="37"/>
  </w:num>
  <w:num w:numId="23" w16cid:durableId="1434277983">
    <w:abstractNumId w:val="43"/>
  </w:num>
  <w:num w:numId="24" w16cid:durableId="1587765171">
    <w:abstractNumId w:val="13"/>
  </w:num>
  <w:num w:numId="25" w16cid:durableId="1442143137">
    <w:abstractNumId w:val="7"/>
  </w:num>
  <w:num w:numId="26" w16cid:durableId="1970820389">
    <w:abstractNumId w:val="22"/>
  </w:num>
  <w:num w:numId="27" w16cid:durableId="989484019">
    <w:abstractNumId w:val="45"/>
  </w:num>
  <w:num w:numId="28" w16cid:durableId="915818240">
    <w:abstractNumId w:val="38"/>
  </w:num>
  <w:num w:numId="29" w16cid:durableId="864903799">
    <w:abstractNumId w:val="26"/>
  </w:num>
  <w:num w:numId="30" w16cid:durableId="21442103">
    <w:abstractNumId w:val="18"/>
  </w:num>
  <w:num w:numId="31" w16cid:durableId="2045057339">
    <w:abstractNumId w:val="29"/>
  </w:num>
  <w:num w:numId="32" w16cid:durableId="637615134">
    <w:abstractNumId w:val="44"/>
  </w:num>
  <w:num w:numId="33" w16cid:durableId="1828596895">
    <w:abstractNumId w:val="6"/>
  </w:num>
  <w:num w:numId="34" w16cid:durableId="1990285714">
    <w:abstractNumId w:val="5"/>
  </w:num>
  <w:num w:numId="35" w16cid:durableId="881476403">
    <w:abstractNumId w:val="41"/>
  </w:num>
  <w:num w:numId="36" w16cid:durableId="1280646751">
    <w:abstractNumId w:val="40"/>
  </w:num>
  <w:num w:numId="37" w16cid:durableId="1350722313">
    <w:abstractNumId w:val="16"/>
  </w:num>
  <w:num w:numId="38" w16cid:durableId="1301688516">
    <w:abstractNumId w:val="4"/>
  </w:num>
  <w:num w:numId="39" w16cid:durableId="1992439602">
    <w:abstractNumId w:val="24"/>
  </w:num>
  <w:num w:numId="40" w16cid:durableId="1529945840">
    <w:abstractNumId w:val="19"/>
  </w:num>
  <w:num w:numId="41" w16cid:durableId="725883683">
    <w:abstractNumId w:val="21"/>
  </w:num>
  <w:num w:numId="42" w16cid:durableId="82993794">
    <w:abstractNumId w:val="35"/>
  </w:num>
  <w:num w:numId="43" w16cid:durableId="710882339">
    <w:abstractNumId w:val="33"/>
  </w:num>
  <w:num w:numId="44" w16cid:durableId="1705399435">
    <w:abstractNumId w:val="15"/>
  </w:num>
  <w:num w:numId="45" w16cid:durableId="1620603936">
    <w:abstractNumId w:val="28"/>
  </w:num>
  <w:num w:numId="46" w16cid:durableId="919289182">
    <w:abstractNumId w:val="8"/>
  </w:num>
  <w:num w:numId="47" w16cid:durableId="1842769588">
    <w:abstractNumId w:val="32"/>
  </w:num>
  <w:num w:numId="48" w16cid:durableId="1106273359">
    <w:abstractNumId w:val="3"/>
  </w:num>
  <w:num w:numId="49" w16cid:durableId="26411867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6185"/>
    <w:rsid w:val="00006407"/>
    <w:rsid w:val="00007546"/>
    <w:rsid w:val="000339D4"/>
    <w:rsid w:val="00037A4C"/>
    <w:rsid w:val="00046651"/>
    <w:rsid w:val="000501D3"/>
    <w:rsid w:val="00064A9B"/>
    <w:rsid w:val="000A6D9D"/>
    <w:rsid w:val="000B62F0"/>
    <w:rsid w:val="00117894"/>
    <w:rsid w:val="00124C18"/>
    <w:rsid w:val="001712D2"/>
    <w:rsid w:val="00173854"/>
    <w:rsid w:val="00176CB7"/>
    <w:rsid w:val="001910CE"/>
    <w:rsid w:val="001A048A"/>
    <w:rsid w:val="001B4921"/>
    <w:rsid w:val="001D6370"/>
    <w:rsid w:val="001E0AC5"/>
    <w:rsid w:val="001E1260"/>
    <w:rsid w:val="002006E3"/>
    <w:rsid w:val="002066FD"/>
    <w:rsid w:val="00225A4C"/>
    <w:rsid w:val="00253A6D"/>
    <w:rsid w:val="00283F94"/>
    <w:rsid w:val="002B0268"/>
    <w:rsid w:val="002B3DCC"/>
    <w:rsid w:val="002C0602"/>
    <w:rsid w:val="002F741B"/>
    <w:rsid w:val="00305E04"/>
    <w:rsid w:val="003171FD"/>
    <w:rsid w:val="00320E21"/>
    <w:rsid w:val="00324586"/>
    <w:rsid w:val="00331123"/>
    <w:rsid w:val="00337A12"/>
    <w:rsid w:val="00340838"/>
    <w:rsid w:val="00375EEF"/>
    <w:rsid w:val="00392CD4"/>
    <w:rsid w:val="003A33C7"/>
    <w:rsid w:val="003B671D"/>
    <w:rsid w:val="003C6791"/>
    <w:rsid w:val="00406DC8"/>
    <w:rsid w:val="0041459E"/>
    <w:rsid w:val="00424203"/>
    <w:rsid w:val="00454D94"/>
    <w:rsid w:val="00467468"/>
    <w:rsid w:val="00470A55"/>
    <w:rsid w:val="00471E53"/>
    <w:rsid w:val="00486BD5"/>
    <w:rsid w:val="00495E77"/>
    <w:rsid w:val="004A4BDE"/>
    <w:rsid w:val="004A4DD1"/>
    <w:rsid w:val="004A57F6"/>
    <w:rsid w:val="004D495A"/>
    <w:rsid w:val="004E2B4A"/>
    <w:rsid w:val="00523259"/>
    <w:rsid w:val="00525C4A"/>
    <w:rsid w:val="00556185"/>
    <w:rsid w:val="00556BB3"/>
    <w:rsid w:val="00581325"/>
    <w:rsid w:val="00593253"/>
    <w:rsid w:val="0059477E"/>
    <w:rsid w:val="00595E94"/>
    <w:rsid w:val="006161AC"/>
    <w:rsid w:val="0062050B"/>
    <w:rsid w:val="00625909"/>
    <w:rsid w:val="00630066"/>
    <w:rsid w:val="0065336B"/>
    <w:rsid w:val="0066615B"/>
    <w:rsid w:val="00673095"/>
    <w:rsid w:val="00676AC7"/>
    <w:rsid w:val="0068241D"/>
    <w:rsid w:val="00682AE4"/>
    <w:rsid w:val="00683100"/>
    <w:rsid w:val="006969D5"/>
    <w:rsid w:val="006A1131"/>
    <w:rsid w:val="006A1387"/>
    <w:rsid w:val="006B2F94"/>
    <w:rsid w:val="006C175D"/>
    <w:rsid w:val="006C63E0"/>
    <w:rsid w:val="006E606E"/>
    <w:rsid w:val="00705207"/>
    <w:rsid w:val="007116FC"/>
    <w:rsid w:val="00780BD5"/>
    <w:rsid w:val="007A1B21"/>
    <w:rsid w:val="007A1E46"/>
    <w:rsid w:val="007D3979"/>
    <w:rsid w:val="00800FD3"/>
    <w:rsid w:val="00804364"/>
    <w:rsid w:val="00834845"/>
    <w:rsid w:val="0084158A"/>
    <w:rsid w:val="0085251F"/>
    <w:rsid w:val="00854FF4"/>
    <w:rsid w:val="00857606"/>
    <w:rsid w:val="008648F6"/>
    <w:rsid w:val="008817EF"/>
    <w:rsid w:val="008850E0"/>
    <w:rsid w:val="008A0849"/>
    <w:rsid w:val="008B2C24"/>
    <w:rsid w:val="008B37B8"/>
    <w:rsid w:val="008B4B47"/>
    <w:rsid w:val="008B6BE4"/>
    <w:rsid w:val="008F009C"/>
    <w:rsid w:val="0092586C"/>
    <w:rsid w:val="00945A5A"/>
    <w:rsid w:val="00950004"/>
    <w:rsid w:val="00976B45"/>
    <w:rsid w:val="0098279E"/>
    <w:rsid w:val="009854BF"/>
    <w:rsid w:val="00991C1C"/>
    <w:rsid w:val="009B20D2"/>
    <w:rsid w:val="009C0337"/>
    <w:rsid w:val="009D3AAA"/>
    <w:rsid w:val="009F1DE0"/>
    <w:rsid w:val="00A0486B"/>
    <w:rsid w:val="00A05C1F"/>
    <w:rsid w:val="00A115AD"/>
    <w:rsid w:val="00A24071"/>
    <w:rsid w:val="00A25A80"/>
    <w:rsid w:val="00A47C1C"/>
    <w:rsid w:val="00A72043"/>
    <w:rsid w:val="00A840C8"/>
    <w:rsid w:val="00A873CB"/>
    <w:rsid w:val="00A87AC9"/>
    <w:rsid w:val="00AA69BF"/>
    <w:rsid w:val="00AF46BB"/>
    <w:rsid w:val="00B04636"/>
    <w:rsid w:val="00B04897"/>
    <w:rsid w:val="00B142A9"/>
    <w:rsid w:val="00B14EA5"/>
    <w:rsid w:val="00B211A1"/>
    <w:rsid w:val="00B4113D"/>
    <w:rsid w:val="00B41710"/>
    <w:rsid w:val="00B45CB8"/>
    <w:rsid w:val="00B61158"/>
    <w:rsid w:val="00B61D4E"/>
    <w:rsid w:val="00B753DC"/>
    <w:rsid w:val="00B91596"/>
    <w:rsid w:val="00BA7967"/>
    <w:rsid w:val="00BB546E"/>
    <w:rsid w:val="00BE30BA"/>
    <w:rsid w:val="00BF407A"/>
    <w:rsid w:val="00BF5854"/>
    <w:rsid w:val="00BF6515"/>
    <w:rsid w:val="00C06ED5"/>
    <w:rsid w:val="00C20576"/>
    <w:rsid w:val="00C26AB4"/>
    <w:rsid w:val="00C6734A"/>
    <w:rsid w:val="00C81BB4"/>
    <w:rsid w:val="00C862D6"/>
    <w:rsid w:val="00C92D38"/>
    <w:rsid w:val="00CE1358"/>
    <w:rsid w:val="00D057B7"/>
    <w:rsid w:val="00D0796E"/>
    <w:rsid w:val="00D40CD7"/>
    <w:rsid w:val="00D74719"/>
    <w:rsid w:val="00D91619"/>
    <w:rsid w:val="00D91EE2"/>
    <w:rsid w:val="00D95E93"/>
    <w:rsid w:val="00DB4807"/>
    <w:rsid w:val="00DC2C8D"/>
    <w:rsid w:val="00DD2731"/>
    <w:rsid w:val="00DD7CE5"/>
    <w:rsid w:val="00DE2353"/>
    <w:rsid w:val="00DF27EC"/>
    <w:rsid w:val="00E0243E"/>
    <w:rsid w:val="00E27CFF"/>
    <w:rsid w:val="00E314F6"/>
    <w:rsid w:val="00E57401"/>
    <w:rsid w:val="00E97E38"/>
    <w:rsid w:val="00EA1CE9"/>
    <w:rsid w:val="00EC7BF7"/>
    <w:rsid w:val="00ED2F89"/>
    <w:rsid w:val="00ED4DFC"/>
    <w:rsid w:val="00EF52A4"/>
    <w:rsid w:val="00F160CA"/>
    <w:rsid w:val="00F577EE"/>
    <w:rsid w:val="00FA3DD9"/>
    <w:rsid w:val="00FA3F1C"/>
    <w:rsid w:val="00FC182E"/>
    <w:rsid w:val="00FE42B3"/>
    <w:rsid w:val="00FE4581"/>
    <w:rsid w:val="00FE4FC3"/>
    <w:rsid w:val="00FE70C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678828"/>
  <w15:chartTrackingRefBased/>
  <w15:docId w15:val="{DB9652E0-ED03-4316-94AB-4BF2D2451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F6515"/>
    <w:pPr>
      <w:ind w:left="720"/>
      <w:contextualSpacing/>
    </w:pPr>
  </w:style>
  <w:style w:type="paragraph" w:styleId="NoSpacing">
    <w:name w:val="No Spacing"/>
    <w:uiPriority w:val="1"/>
    <w:qFormat/>
    <w:rsid w:val="0092586C"/>
    <w:pPr>
      <w:spacing w:after="0" w:line="240" w:lineRule="auto"/>
    </w:pPr>
  </w:style>
  <w:style w:type="table" w:styleId="TableGrid">
    <w:name w:val="Table Grid"/>
    <w:basedOn w:val="TableNormal"/>
    <w:uiPriority w:val="39"/>
    <w:rsid w:val="009258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65336B"/>
    <w:pPr>
      <w:spacing w:before="100" w:beforeAutospacing="1" w:after="100" w:afterAutospacing="1" w:line="240" w:lineRule="auto"/>
    </w:pPr>
    <w:rPr>
      <w:rFonts w:ascii="Times New Roman" w:eastAsia="Times New Roman" w:hAnsi="Times New Roman" w:cs="Times New Roman"/>
      <w:kern w:val="0"/>
      <w:sz w:val="24"/>
      <w:szCs w:val="24"/>
      <w:lang w:eastAsia="en-ID"/>
      <w14:ligatures w14:val="none"/>
    </w:rPr>
  </w:style>
  <w:style w:type="character" w:styleId="Strong">
    <w:name w:val="Strong"/>
    <w:basedOn w:val="DefaultParagraphFont"/>
    <w:uiPriority w:val="22"/>
    <w:qFormat/>
    <w:rsid w:val="0065336B"/>
    <w:rPr>
      <w:b/>
      <w:bCs/>
    </w:rPr>
  </w:style>
  <w:style w:type="paragraph" w:styleId="Header">
    <w:name w:val="header"/>
    <w:basedOn w:val="Normal"/>
    <w:link w:val="HeaderChar"/>
    <w:uiPriority w:val="99"/>
    <w:unhideWhenUsed/>
    <w:rsid w:val="00C06ED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06ED5"/>
  </w:style>
  <w:style w:type="paragraph" w:styleId="Footer">
    <w:name w:val="footer"/>
    <w:basedOn w:val="Normal"/>
    <w:link w:val="FooterChar"/>
    <w:uiPriority w:val="99"/>
    <w:unhideWhenUsed/>
    <w:rsid w:val="00C06ED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06ED5"/>
  </w:style>
  <w:style w:type="character" w:styleId="PlaceholderText">
    <w:name w:val="Placeholder Text"/>
    <w:basedOn w:val="DefaultParagraphFont"/>
    <w:uiPriority w:val="99"/>
    <w:semiHidden/>
    <w:rsid w:val="00C6734A"/>
    <w:rPr>
      <w:color w:val="666666"/>
    </w:rPr>
  </w:style>
  <w:style w:type="character" w:styleId="Hyperlink">
    <w:name w:val="Hyperlink"/>
    <w:basedOn w:val="DefaultParagraphFont"/>
    <w:uiPriority w:val="99"/>
    <w:unhideWhenUsed/>
    <w:rsid w:val="00682AE4"/>
    <w:rPr>
      <w:color w:val="0563C1" w:themeColor="hyperlink"/>
      <w:u w:val="single"/>
    </w:rPr>
  </w:style>
  <w:style w:type="character" w:styleId="UnresolvedMention">
    <w:name w:val="Unresolved Mention"/>
    <w:basedOn w:val="DefaultParagraphFont"/>
    <w:uiPriority w:val="99"/>
    <w:semiHidden/>
    <w:unhideWhenUsed/>
    <w:rsid w:val="00682AE4"/>
    <w:rPr>
      <w:color w:val="605E5C"/>
      <w:shd w:val="clear" w:color="auto" w:fill="E1DFDD"/>
    </w:rPr>
  </w:style>
  <w:style w:type="paragraph" w:styleId="HTMLPreformatted">
    <w:name w:val="HTML Preformatted"/>
    <w:basedOn w:val="Normal"/>
    <w:link w:val="HTMLPreformattedChar"/>
    <w:uiPriority w:val="99"/>
    <w:semiHidden/>
    <w:unhideWhenUsed/>
    <w:rsid w:val="00FA3DD9"/>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FA3DD9"/>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24058">
      <w:bodyDiv w:val="1"/>
      <w:marLeft w:val="0"/>
      <w:marRight w:val="0"/>
      <w:marTop w:val="0"/>
      <w:marBottom w:val="0"/>
      <w:divBdr>
        <w:top w:val="none" w:sz="0" w:space="0" w:color="auto"/>
        <w:left w:val="none" w:sz="0" w:space="0" w:color="auto"/>
        <w:bottom w:val="none" w:sz="0" w:space="0" w:color="auto"/>
        <w:right w:val="none" w:sz="0" w:space="0" w:color="auto"/>
      </w:divBdr>
      <w:divsChild>
        <w:div w:id="395205169">
          <w:marLeft w:val="0"/>
          <w:marRight w:val="0"/>
          <w:marTop w:val="15"/>
          <w:marBottom w:val="0"/>
          <w:divBdr>
            <w:top w:val="single" w:sz="48" w:space="0" w:color="auto"/>
            <w:left w:val="single" w:sz="48" w:space="0" w:color="auto"/>
            <w:bottom w:val="single" w:sz="48" w:space="0" w:color="auto"/>
            <w:right w:val="single" w:sz="48" w:space="0" w:color="auto"/>
          </w:divBdr>
          <w:divsChild>
            <w:div w:id="707606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10347">
      <w:bodyDiv w:val="1"/>
      <w:marLeft w:val="0"/>
      <w:marRight w:val="0"/>
      <w:marTop w:val="0"/>
      <w:marBottom w:val="0"/>
      <w:divBdr>
        <w:top w:val="none" w:sz="0" w:space="0" w:color="auto"/>
        <w:left w:val="none" w:sz="0" w:space="0" w:color="auto"/>
        <w:bottom w:val="none" w:sz="0" w:space="0" w:color="auto"/>
        <w:right w:val="none" w:sz="0" w:space="0" w:color="auto"/>
      </w:divBdr>
      <w:divsChild>
        <w:div w:id="2128699762">
          <w:marLeft w:val="0"/>
          <w:marRight w:val="0"/>
          <w:marTop w:val="0"/>
          <w:marBottom w:val="0"/>
          <w:divBdr>
            <w:top w:val="none" w:sz="0" w:space="0" w:color="auto"/>
            <w:left w:val="none" w:sz="0" w:space="0" w:color="auto"/>
            <w:bottom w:val="none" w:sz="0" w:space="0" w:color="auto"/>
            <w:right w:val="none" w:sz="0" w:space="0" w:color="auto"/>
          </w:divBdr>
        </w:div>
      </w:divsChild>
    </w:div>
    <w:div w:id="54277988">
      <w:bodyDiv w:val="1"/>
      <w:marLeft w:val="0"/>
      <w:marRight w:val="0"/>
      <w:marTop w:val="0"/>
      <w:marBottom w:val="0"/>
      <w:divBdr>
        <w:top w:val="none" w:sz="0" w:space="0" w:color="auto"/>
        <w:left w:val="none" w:sz="0" w:space="0" w:color="auto"/>
        <w:bottom w:val="none" w:sz="0" w:space="0" w:color="auto"/>
        <w:right w:val="none" w:sz="0" w:space="0" w:color="auto"/>
      </w:divBdr>
      <w:divsChild>
        <w:div w:id="1494181812">
          <w:marLeft w:val="0"/>
          <w:marRight w:val="0"/>
          <w:marTop w:val="0"/>
          <w:marBottom w:val="0"/>
          <w:divBdr>
            <w:top w:val="none" w:sz="0" w:space="0" w:color="auto"/>
            <w:left w:val="none" w:sz="0" w:space="0" w:color="auto"/>
            <w:bottom w:val="none" w:sz="0" w:space="0" w:color="auto"/>
            <w:right w:val="none" w:sz="0" w:space="0" w:color="auto"/>
          </w:divBdr>
        </w:div>
      </w:divsChild>
    </w:div>
    <w:div w:id="106001937">
      <w:bodyDiv w:val="1"/>
      <w:marLeft w:val="0"/>
      <w:marRight w:val="0"/>
      <w:marTop w:val="0"/>
      <w:marBottom w:val="0"/>
      <w:divBdr>
        <w:top w:val="none" w:sz="0" w:space="0" w:color="auto"/>
        <w:left w:val="none" w:sz="0" w:space="0" w:color="auto"/>
        <w:bottom w:val="none" w:sz="0" w:space="0" w:color="auto"/>
        <w:right w:val="none" w:sz="0" w:space="0" w:color="auto"/>
      </w:divBdr>
    </w:div>
    <w:div w:id="106313793">
      <w:bodyDiv w:val="1"/>
      <w:marLeft w:val="0"/>
      <w:marRight w:val="0"/>
      <w:marTop w:val="0"/>
      <w:marBottom w:val="0"/>
      <w:divBdr>
        <w:top w:val="none" w:sz="0" w:space="0" w:color="auto"/>
        <w:left w:val="none" w:sz="0" w:space="0" w:color="auto"/>
        <w:bottom w:val="none" w:sz="0" w:space="0" w:color="auto"/>
        <w:right w:val="none" w:sz="0" w:space="0" w:color="auto"/>
      </w:divBdr>
      <w:divsChild>
        <w:div w:id="726344029">
          <w:marLeft w:val="0"/>
          <w:marRight w:val="0"/>
          <w:marTop w:val="0"/>
          <w:marBottom w:val="0"/>
          <w:divBdr>
            <w:top w:val="none" w:sz="0" w:space="0" w:color="auto"/>
            <w:left w:val="none" w:sz="0" w:space="0" w:color="auto"/>
            <w:bottom w:val="none" w:sz="0" w:space="0" w:color="auto"/>
            <w:right w:val="none" w:sz="0" w:space="0" w:color="auto"/>
          </w:divBdr>
        </w:div>
      </w:divsChild>
    </w:div>
    <w:div w:id="272057993">
      <w:bodyDiv w:val="1"/>
      <w:marLeft w:val="0"/>
      <w:marRight w:val="0"/>
      <w:marTop w:val="0"/>
      <w:marBottom w:val="0"/>
      <w:divBdr>
        <w:top w:val="none" w:sz="0" w:space="0" w:color="auto"/>
        <w:left w:val="none" w:sz="0" w:space="0" w:color="auto"/>
        <w:bottom w:val="none" w:sz="0" w:space="0" w:color="auto"/>
        <w:right w:val="none" w:sz="0" w:space="0" w:color="auto"/>
      </w:divBdr>
      <w:divsChild>
        <w:div w:id="1007708992">
          <w:marLeft w:val="0"/>
          <w:marRight w:val="0"/>
          <w:marTop w:val="0"/>
          <w:marBottom w:val="0"/>
          <w:divBdr>
            <w:top w:val="none" w:sz="0" w:space="0" w:color="auto"/>
            <w:left w:val="none" w:sz="0" w:space="0" w:color="auto"/>
            <w:bottom w:val="none" w:sz="0" w:space="0" w:color="auto"/>
            <w:right w:val="none" w:sz="0" w:space="0" w:color="auto"/>
          </w:divBdr>
        </w:div>
      </w:divsChild>
    </w:div>
    <w:div w:id="283851742">
      <w:bodyDiv w:val="1"/>
      <w:marLeft w:val="0"/>
      <w:marRight w:val="0"/>
      <w:marTop w:val="0"/>
      <w:marBottom w:val="0"/>
      <w:divBdr>
        <w:top w:val="none" w:sz="0" w:space="0" w:color="auto"/>
        <w:left w:val="none" w:sz="0" w:space="0" w:color="auto"/>
        <w:bottom w:val="none" w:sz="0" w:space="0" w:color="auto"/>
        <w:right w:val="none" w:sz="0" w:space="0" w:color="auto"/>
      </w:divBdr>
    </w:div>
    <w:div w:id="293557651">
      <w:bodyDiv w:val="1"/>
      <w:marLeft w:val="0"/>
      <w:marRight w:val="0"/>
      <w:marTop w:val="0"/>
      <w:marBottom w:val="0"/>
      <w:divBdr>
        <w:top w:val="none" w:sz="0" w:space="0" w:color="auto"/>
        <w:left w:val="none" w:sz="0" w:space="0" w:color="auto"/>
        <w:bottom w:val="none" w:sz="0" w:space="0" w:color="auto"/>
        <w:right w:val="none" w:sz="0" w:space="0" w:color="auto"/>
      </w:divBdr>
      <w:divsChild>
        <w:div w:id="1941446318">
          <w:marLeft w:val="0"/>
          <w:marRight w:val="0"/>
          <w:marTop w:val="0"/>
          <w:marBottom w:val="0"/>
          <w:divBdr>
            <w:top w:val="none" w:sz="0" w:space="0" w:color="auto"/>
            <w:left w:val="none" w:sz="0" w:space="0" w:color="auto"/>
            <w:bottom w:val="none" w:sz="0" w:space="0" w:color="auto"/>
            <w:right w:val="none" w:sz="0" w:space="0" w:color="auto"/>
          </w:divBdr>
        </w:div>
      </w:divsChild>
    </w:div>
    <w:div w:id="387846985">
      <w:bodyDiv w:val="1"/>
      <w:marLeft w:val="0"/>
      <w:marRight w:val="0"/>
      <w:marTop w:val="0"/>
      <w:marBottom w:val="0"/>
      <w:divBdr>
        <w:top w:val="none" w:sz="0" w:space="0" w:color="auto"/>
        <w:left w:val="none" w:sz="0" w:space="0" w:color="auto"/>
        <w:bottom w:val="none" w:sz="0" w:space="0" w:color="auto"/>
        <w:right w:val="none" w:sz="0" w:space="0" w:color="auto"/>
      </w:divBdr>
      <w:divsChild>
        <w:div w:id="112477965">
          <w:marLeft w:val="0"/>
          <w:marRight w:val="0"/>
          <w:marTop w:val="15"/>
          <w:marBottom w:val="0"/>
          <w:divBdr>
            <w:top w:val="single" w:sz="48" w:space="0" w:color="auto"/>
            <w:left w:val="single" w:sz="48" w:space="0" w:color="auto"/>
            <w:bottom w:val="single" w:sz="48" w:space="0" w:color="auto"/>
            <w:right w:val="single" w:sz="48" w:space="0" w:color="auto"/>
          </w:divBdr>
          <w:divsChild>
            <w:div w:id="175341323">
              <w:marLeft w:val="0"/>
              <w:marRight w:val="0"/>
              <w:marTop w:val="0"/>
              <w:marBottom w:val="0"/>
              <w:divBdr>
                <w:top w:val="none" w:sz="0" w:space="0" w:color="auto"/>
                <w:left w:val="none" w:sz="0" w:space="0" w:color="auto"/>
                <w:bottom w:val="none" w:sz="0" w:space="0" w:color="auto"/>
                <w:right w:val="none" w:sz="0" w:space="0" w:color="auto"/>
              </w:divBdr>
            </w:div>
          </w:divsChild>
        </w:div>
        <w:div w:id="1086684182">
          <w:marLeft w:val="0"/>
          <w:marRight w:val="0"/>
          <w:marTop w:val="15"/>
          <w:marBottom w:val="0"/>
          <w:divBdr>
            <w:top w:val="single" w:sz="48" w:space="0" w:color="auto"/>
            <w:left w:val="single" w:sz="48" w:space="0" w:color="auto"/>
            <w:bottom w:val="single" w:sz="48" w:space="0" w:color="auto"/>
            <w:right w:val="single" w:sz="48" w:space="0" w:color="auto"/>
          </w:divBdr>
          <w:divsChild>
            <w:div w:id="1248229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049620">
      <w:bodyDiv w:val="1"/>
      <w:marLeft w:val="0"/>
      <w:marRight w:val="0"/>
      <w:marTop w:val="0"/>
      <w:marBottom w:val="0"/>
      <w:divBdr>
        <w:top w:val="none" w:sz="0" w:space="0" w:color="auto"/>
        <w:left w:val="none" w:sz="0" w:space="0" w:color="auto"/>
        <w:bottom w:val="none" w:sz="0" w:space="0" w:color="auto"/>
        <w:right w:val="none" w:sz="0" w:space="0" w:color="auto"/>
      </w:divBdr>
      <w:divsChild>
        <w:div w:id="1904564533">
          <w:marLeft w:val="0"/>
          <w:marRight w:val="0"/>
          <w:marTop w:val="15"/>
          <w:marBottom w:val="0"/>
          <w:divBdr>
            <w:top w:val="single" w:sz="48" w:space="0" w:color="auto"/>
            <w:left w:val="single" w:sz="48" w:space="0" w:color="auto"/>
            <w:bottom w:val="single" w:sz="48" w:space="0" w:color="auto"/>
            <w:right w:val="single" w:sz="48" w:space="0" w:color="auto"/>
          </w:divBdr>
          <w:divsChild>
            <w:div w:id="901133949">
              <w:marLeft w:val="0"/>
              <w:marRight w:val="0"/>
              <w:marTop w:val="0"/>
              <w:marBottom w:val="0"/>
              <w:divBdr>
                <w:top w:val="none" w:sz="0" w:space="0" w:color="auto"/>
                <w:left w:val="none" w:sz="0" w:space="0" w:color="auto"/>
                <w:bottom w:val="none" w:sz="0" w:space="0" w:color="auto"/>
                <w:right w:val="none" w:sz="0" w:space="0" w:color="auto"/>
              </w:divBdr>
            </w:div>
          </w:divsChild>
        </w:div>
        <w:div w:id="225845304">
          <w:marLeft w:val="0"/>
          <w:marRight w:val="0"/>
          <w:marTop w:val="15"/>
          <w:marBottom w:val="0"/>
          <w:divBdr>
            <w:top w:val="single" w:sz="48" w:space="0" w:color="auto"/>
            <w:left w:val="single" w:sz="48" w:space="0" w:color="auto"/>
            <w:bottom w:val="single" w:sz="48" w:space="0" w:color="auto"/>
            <w:right w:val="single" w:sz="48" w:space="0" w:color="auto"/>
          </w:divBdr>
          <w:divsChild>
            <w:div w:id="1651864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279457">
      <w:bodyDiv w:val="1"/>
      <w:marLeft w:val="0"/>
      <w:marRight w:val="0"/>
      <w:marTop w:val="0"/>
      <w:marBottom w:val="0"/>
      <w:divBdr>
        <w:top w:val="none" w:sz="0" w:space="0" w:color="auto"/>
        <w:left w:val="none" w:sz="0" w:space="0" w:color="auto"/>
        <w:bottom w:val="none" w:sz="0" w:space="0" w:color="auto"/>
        <w:right w:val="none" w:sz="0" w:space="0" w:color="auto"/>
      </w:divBdr>
      <w:divsChild>
        <w:div w:id="1908415277">
          <w:marLeft w:val="0"/>
          <w:marRight w:val="0"/>
          <w:marTop w:val="0"/>
          <w:marBottom w:val="0"/>
          <w:divBdr>
            <w:top w:val="none" w:sz="0" w:space="0" w:color="auto"/>
            <w:left w:val="none" w:sz="0" w:space="0" w:color="auto"/>
            <w:bottom w:val="none" w:sz="0" w:space="0" w:color="auto"/>
            <w:right w:val="none" w:sz="0" w:space="0" w:color="auto"/>
          </w:divBdr>
        </w:div>
      </w:divsChild>
    </w:div>
    <w:div w:id="446657109">
      <w:bodyDiv w:val="1"/>
      <w:marLeft w:val="0"/>
      <w:marRight w:val="0"/>
      <w:marTop w:val="0"/>
      <w:marBottom w:val="0"/>
      <w:divBdr>
        <w:top w:val="none" w:sz="0" w:space="0" w:color="auto"/>
        <w:left w:val="none" w:sz="0" w:space="0" w:color="auto"/>
        <w:bottom w:val="none" w:sz="0" w:space="0" w:color="auto"/>
        <w:right w:val="none" w:sz="0" w:space="0" w:color="auto"/>
      </w:divBdr>
    </w:div>
    <w:div w:id="537544052">
      <w:bodyDiv w:val="1"/>
      <w:marLeft w:val="0"/>
      <w:marRight w:val="0"/>
      <w:marTop w:val="0"/>
      <w:marBottom w:val="0"/>
      <w:divBdr>
        <w:top w:val="none" w:sz="0" w:space="0" w:color="auto"/>
        <w:left w:val="none" w:sz="0" w:space="0" w:color="auto"/>
        <w:bottom w:val="none" w:sz="0" w:space="0" w:color="auto"/>
        <w:right w:val="none" w:sz="0" w:space="0" w:color="auto"/>
      </w:divBdr>
      <w:divsChild>
        <w:div w:id="138885339">
          <w:marLeft w:val="0"/>
          <w:marRight w:val="0"/>
          <w:marTop w:val="0"/>
          <w:marBottom w:val="0"/>
          <w:divBdr>
            <w:top w:val="none" w:sz="0" w:space="0" w:color="auto"/>
            <w:left w:val="none" w:sz="0" w:space="0" w:color="auto"/>
            <w:bottom w:val="none" w:sz="0" w:space="0" w:color="auto"/>
            <w:right w:val="none" w:sz="0" w:space="0" w:color="auto"/>
          </w:divBdr>
        </w:div>
        <w:div w:id="1114783345">
          <w:marLeft w:val="0"/>
          <w:marRight w:val="0"/>
          <w:marTop w:val="0"/>
          <w:marBottom w:val="0"/>
          <w:divBdr>
            <w:top w:val="none" w:sz="0" w:space="0" w:color="auto"/>
            <w:left w:val="none" w:sz="0" w:space="0" w:color="auto"/>
            <w:bottom w:val="none" w:sz="0" w:space="0" w:color="auto"/>
            <w:right w:val="none" w:sz="0" w:space="0" w:color="auto"/>
          </w:divBdr>
        </w:div>
      </w:divsChild>
    </w:div>
    <w:div w:id="551309689">
      <w:bodyDiv w:val="1"/>
      <w:marLeft w:val="0"/>
      <w:marRight w:val="0"/>
      <w:marTop w:val="0"/>
      <w:marBottom w:val="0"/>
      <w:divBdr>
        <w:top w:val="none" w:sz="0" w:space="0" w:color="auto"/>
        <w:left w:val="none" w:sz="0" w:space="0" w:color="auto"/>
        <w:bottom w:val="none" w:sz="0" w:space="0" w:color="auto"/>
        <w:right w:val="none" w:sz="0" w:space="0" w:color="auto"/>
      </w:divBdr>
      <w:divsChild>
        <w:div w:id="1555655748">
          <w:marLeft w:val="0"/>
          <w:marRight w:val="0"/>
          <w:marTop w:val="0"/>
          <w:marBottom w:val="0"/>
          <w:divBdr>
            <w:top w:val="none" w:sz="0" w:space="0" w:color="auto"/>
            <w:left w:val="none" w:sz="0" w:space="0" w:color="auto"/>
            <w:bottom w:val="none" w:sz="0" w:space="0" w:color="auto"/>
            <w:right w:val="none" w:sz="0" w:space="0" w:color="auto"/>
          </w:divBdr>
        </w:div>
      </w:divsChild>
    </w:div>
    <w:div w:id="562372006">
      <w:bodyDiv w:val="1"/>
      <w:marLeft w:val="0"/>
      <w:marRight w:val="0"/>
      <w:marTop w:val="0"/>
      <w:marBottom w:val="0"/>
      <w:divBdr>
        <w:top w:val="none" w:sz="0" w:space="0" w:color="auto"/>
        <w:left w:val="none" w:sz="0" w:space="0" w:color="auto"/>
        <w:bottom w:val="none" w:sz="0" w:space="0" w:color="auto"/>
        <w:right w:val="none" w:sz="0" w:space="0" w:color="auto"/>
      </w:divBdr>
      <w:divsChild>
        <w:div w:id="1029338224">
          <w:marLeft w:val="0"/>
          <w:marRight w:val="0"/>
          <w:marTop w:val="0"/>
          <w:marBottom w:val="0"/>
          <w:divBdr>
            <w:top w:val="none" w:sz="0" w:space="0" w:color="auto"/>
            <w:left w:val="none" w:sz="0" w:space="0" w:color="auto"/>
            <w:bottom w:val="none" w:sz="0" w:space="0" w:color="auto"/>
            <w:right w:val="none" w:sz="0" w:space="0" w:color="auto"/>
          </w:divBdr>
        </w:div>
      </w:divsChild>
    </w:div>
    <w:div w:id="584653673">
      <w:bodyDiv w:val="1"/>
      <w:marLeft w:val="0"/>
      <w:marRight w:val="0"/>
      <w:marTop w:val="0"/>
      <w:marBottom w:val="0"/>
      <w:divBdr>
        <w:top w:val="none" w:sz="0" w:space="0" w:color="auto"/>
        <w:left w:val="none" w:sz="0" w:space="0" w:color="auto"/>
        <w:bottom w:val="none" w:sz="0" w:space="0" w:color="auto"/>
        <w:right w:val="none" w:sz="0" w:space="0" w:color="auto"/>
      </w:divBdr>
    </w:div>
    <w:div w:id="624040119">
      <w:bodyDiv w:val="1"/>
      <w:marLeft w:val="0"/>
      <w:marRight w:val="0"/>
      <w:marTop w:val="0"/>
      <w:marBottom w:val="0"/>
      <w:divBdr>
        <w:top w:val="none" w:sz="0" w:space="0" w:color="auto"/>
        <w:left w:val="none" w:sz="0" w:space="0" w:color="auto"/>
        <w:bottom w:val="none" w:sz="0" w:space="0" w:color="auto"/>
        <w:right w:val="none" w:sz="0" w:space="0" w:color="auto"/>
      </w:divBdr>
    </w:div>
    <w:div w:id="654721988">
      <w:bodyDiv w:val="1"/>
      <w:marLeft w:val="0"/>
      <w:marRight w:val="0"/>
      <w:marTop w:val="0"/>
      <w:marBottom w:val="0"/>
      <w:divBdr>
        <w:top w:val="none" w:sz="0" w:space="0" w:color="auto"/>
        <w:left w:val="none" w:sz="0" w:space="0" w:color="auto"/>
        <w:bottom w:val="none" w:sz="0" w:space="0" w:color="auto"/>
        <w:right w:val="none" w:sz="0" w:space="0" w:color="auto"/>
      </w:divBdr>
      <w:divsChild>
        <w:div w:id="1913926270">
          <w:marLeft w:val="0"/>
          <w:marRight w:val="0"/>
          <w:marTop w:val="0"/>
          <w:marBottom w:val="0"/>
          <w:divBdr>
            <w:top w:val="none" w:sz="0" w:space="0" w:color="auto"/>
            <w:left w:val="none" w:sz="0" w:space="0" w:color="auto"/>
            <w:bottom w:val="none" w:sz="0" w:space="0" w:color="auto"/>
            <w:right w:val="none" w:sz="0" w:space="0" w:color="auto"/>
          </w:divBdr>
        </w:div>
      </w:divsChild>
    </w:div>
    <w:div w:id="788360444">
      <w:bodyDiv w:val="1"/>
      <w:marLeft w:val="0"/>
      <w:marRight w:val="0"/>
      <w:marTop w:val="0"/>
      <w:marBottom w:val="0"/>
      <w:divBdr>
        <w:top w:val="none" w:sz="0" w:space="0" w:color="auto"/>
        <w:left w:val="none" w:sz="0" w:space="0" w:color="auto"/>
        <w:bottom w:val="none" w:sz="0" w:space="0" w:color="auto"/>
        <w:right w:val="none" w:sz="0" w:space="0" w:color="auto"/>
      </w:divBdr>
      <w:divsChild>
        <w:div w:id="664670424">
          <w:marLeft w:val="0"/>
          <w:marRight w:val="0"/>
          <w:marTop w:val="15"/>
          <w:marBottom w:val="0"/>
          <w:divBdr>
            <w:top w:val="single" w:sz="48" w:space="0" w:color="auto"/>
            <w:left w:val="single" w:sz="48" w:space="0" w:color="auto"/>
            <w:bottom w:val="single" w:sz="48" w:space="0" w:color="auto"/>
            <w:right w:val="single" w:sz="48" w:space="0" w:color="auto"/>
          </w:divBdr>
          <w:divsChild>
            <w:div w:id="2054185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9076515">
      <w:bodyDiv w:val="1"/>
      <w:marLeft w:val="0"/>
      <w:marRight w:val="0"/>
      <w:marTop w:val="0"/>
      <w:marBottom w:val="0"/>
      <w:divBdr>
        <w:top w:val="none" w:sz="0" w:space="0" w:color="auto"/>
        <w:left w:val="none" w:sz="0" w:space="0" w:color="auto"/>
        <w:bottom w:val="none" w:sz="0" w:space="0" w:color="auto"/>
        <w:right w:val="none" w:sz="0" w:space="0" w:color="auto"/>
      </w:divBdr>
      <w:divsChild>
        <w:div w:id="765226433">
          <w:marLeft w:val="0"/>
          <w:marRight w:val="0"/>
          <w:marTop w:val="0"/>
          <w:marBottom w:val="0"/>
          <w:divBdr>
            <w:top w:val="none" w:sz="0" w:space="0" w:color="auto"/>
            <w:left w:val="none" w:sz="0" w:space="0" w:color="auto"/>
            <w:bottom w:val="none" w:sz="0" w:space="0" w:color="auto"/>
            <w:right w:val="none" w:sz="0" w:space="0" w:color="auto"/>
          </w:divBdr>
        </w:div>
      </w:divsChild>
    </w:div>
    <w:div w:id="987367403">
      <w:bodyDiv w:val="1"/>
      <w:marLeft w:val="0"/>
      <w:marRight w:val="0"/>
      <w:marTop w:val="0"/>
      <w:marBottom w:val="0"/>
      <w:divBdr>
        <w:top w:val="none" w:sz="0" w:space="0" w:color="auto"/>
        <w:left w:val="none" w:sz="0" w:space="0" w:color="auto"/>
        <w:bottom w:val="none" w:sz="0" w:space="0" w:color="auto"/>
        <w:right w:val="none" w:sz="0" w:space="0" w:color="auto"/>
      </w:divBdr>
      <w:divsChild>
        <w:div w:id="841314670">
          <w:marLeft w:val="0"/>
          <w:marRight w:val="0"/>
          <w:marTop w:val="0"/>
          <w:marBottom w:val="0"/>
          <w:divBdr>
            <w:top w:val="none" w:sz="0" w:space="0" w:color="auto"/>
            <w:left w:val="none" w:sz="0" w:space="0" w:color="auto"/>
            <w:bottom w:val="none" w:sz="0" w:space="0" w:color="auto"/>
            <w:right w:val="none" w:sz="0" w:space="0" w:color="auto"/>
          </w:divBdr>
        </w:div>
      </w:divsChild>
    </w:div>
    <w:div w:id="1042940708">
      <w:bodyDiv w:val="1"/>
      <w:marLeft w:val="0"/>
      <w:marRight w:val="0"/>
      <w:marTop w:val="0"/>
      <w:marBottom w:val="0"/>
      <w:divBdr>
        <w:top w:val="none" w:sz="0" w:space="0" w:color="auto"/>
        <w:left w:val="none" w:sz="0" w:space="0" w:color="auto"/>
        <w:bottom w:val="none" w:sz="0" w:space="0" w:color="auto"/>
        <w:right w:val="none" w:sz="0" w:space="0" w:color="auto"/>
      </w:divBdr>
    </w:div>
    <w:div w:id="1081683793">
      <w:bodyDiv w:val="1"/>
      <w:marLeft w:val="0"/>
      <w:marRight w:val="0"/>
      <w:marTop w:val="0"/>
      <w:marBottom w:val="0"/>
      <w:divBdr>
        <w:top w:val="none" w:sz="0" w:space="0" w:color="auto"/>
        <w:left w:val="none" w:sz="0" w:space="0" w:color="auto"/>
        <w:bottom w:val="none" w:sz="0" w:space="0" w:color="auto"/>
        <w:right w:val="none" w:sz="0" w:space="0" w:color="auto"/>
      </w:divBdr>
      <w:divsChild>
        <w:div w:id="1237471026">
          <w:marLeft w:val="0"/>
          <w:marRight w:val="0"/>
          <w:marTop w:val="0"/>
          <w:marBottom w:val="0"/>
          <w:divBdr>
            <w:top w:val="none" w:sz="0" w:space="0" w:color="auto"/>
            <w:left w:val="none" w:sz="0" w:space="0" w:color="auto"/>
            <w:bottom w:val="none" w:sz="0" w:space="0" w:color="auto"/>
            <w:right w:val="none" w:sz="0" w:space="0" w:color="auto"/>
          </w:divBdr>
        </w:div>
      </w:divsChild>
    </w:div>
    <w:div w:id="1162306796">
      <w:bodyDiv w:val="1"/>
      <w:marLeft w:val="0"/>
      <w:marRight w:val="0"/>
      <w:marTop w:val="0"/>
      <w:marBottom w:val="0"/>
      <w:divBdr>
        <w:top w:val="none" w:sz="0" w:space="0" w:color="auto"/>
        <w:left w:val="none" w:sz="0" w:space="0" w:color="auto"/>
        <w:bottom w:val="none" w:sz="0" w:space="0" w:color="auto"/>
        <w:right w:val="none" w:sz="0" w:space="0" w:color="auto"/>
      </w:divBdr>
      <w:divsChild>
        <w:div w:id="1811940154">
          <w:marLeft w:val="0"/>
          <w:marRight w:val="0"/>
          <w:marTop w:val="0"/>
          <w:marBottom w:val="0"/>
          <w:divBdr>
            <w:top w:val="none" w:sz="0" w:space="0" w:color="auto"/>
            <w:left w:val="none" w:sz="0" w:space="0" w:color="auto"/>
            <w:bottom w:val="none" w:sz="0" w:space="0" w:color="auto"/>
            <w:right w:val="none" w:sz="0" w:space="0" w:color="auto"/>
          </w:divBdr>
        </w:div>
      </w:divsChild>
    </w:div>
    <w:div w:id="1177113656">
      <w:bodyDiv w:val="1"/>
      <w:marLeft w:val="0"/>
      <w:marRight w:val="0"/>
      <w:marTop w:val="0"/>
      <w:marBottom w:val="0"/>
      <w:divBdr>
        <w:top w:val="none" w:sz="0" w:space="0" w:color="auto"/>
        <w:left w:val="none" w:sz="0" w:space="0" w:color="auto"/>
        <w:bottom w:val="none" w:sz="0" w:space="0" w:color="auto"/>
        <w:right w:val="none" w:sz="0" w:space="0" w:color="auto"/>
      </w:divBdr>
    </w:div>
    <w:div w:id="1182863256">
      <w:bodyDiv w:val="1"/>
      <w:marLeft w:val="0"/>
      <w:marRight w:val="0"/>
      <w:marTop w:val="0"/>
      <w:marBottom w:val="0"/>
      <w:divBdr>
        <w:top w:val="none" w:sz="0" w:space="0" w:color="auto"/>
        <w:left w:val="none" w:sz="0" w:space="0" w:color="auto"/>
        <w:bottom w:val="none" w:sz="0" w:space="0" w:color="auto"/>
        <w:right w:val="none" w:sz="0" w:space="0" w:color="auto"/>
      </w:divBdr>
      <w:divsChild>
        <w:div w:id="1585647362">
          <w:marLeft w:val="0"/>
          <w:marRight w:val="0"/>
          <w:marTop w:val="0"/>
          <w:marBottom w:val="0"/>
          <w:divBdr>
            <w:top w:val="none" w:sz="0" w:space="0" w:color="auto"/>
            <w:left w:val="none" w:sz="0" w:space="0" w:color="auto"/>
            <w:bottom w:val="none" w:sz="0" w:space="0" w:color="auto"/>
            <w:right w:val="none" w:sz="0" w:space="0" w:color="auto"/>
          </w:divBdr>
        </w:div>
      </w:divsChild>
    </w:div>
    <w:div w:id="1319572896">
      <w:bodyDiv w:val="1"/>
      <w:marLeft w:val="0"/>
      <w:marRight w:val="0"/>
      <w:marTop w:val="0"/>
      <w:marBottom w:val="0"/>
      <w:divBdr>
        <w:top w:val="none" w:sz="0" w:space="0" w:color="auto"/>
        <w:left w:val="none" w:sz="0" w:space="0" w:color="auto"/>
        <w:bottom w:val="none" w:sz="0" w:space="0" w:color="auto"/>
        <w:right w:val="none" w:sz="0" w:space="0" w:color="auto"/>
      </w:divBdr>
    </w:div>
    <w:div w:id="1324625288">
      <w:bodyDiv w:val="1"/>
      <w:marLeft w:val="0"/>
      <w:marRight w:val="0"/>
      <w:marTop w:val="0"/>
      <w:marBottom w:val="0"/>
      <w:divBdr>
        <w:top w:val="none" w:sz="0" w:space="0" w:color="auto"/>
        <w:left w:val="none" w:sz="0" w:space="0" w:color="auto"/>
        <w:bottom w:val="none" w:sz="0" w:space="0" w:color="auto"/>
        <w:right w:val="none" w:sz="0" w:space="0" w:color="auto"/>
      </w:divBdr>
      <w:divsChild>
        <w:div w:id="337276442">
          <w:marLeft w:val="480"/>
          <w:marRight w:val="0"/>
          <w:marTop w:val="0"/>
          <w:marBottom w:val="0"/>
          <w:divBdr>
            <w:top w:val="none" w:sz="0" w:space="0" w:color="auto"/>
            <w:left w:val="none" w:sz="0" w:space="0" w:color="auto"/>
            <w:bottom w:val="none" w:sz="0" w:space="0" w:color="auto"/>
            <w:right w:val="none" w:sz="0" w:space="0" w:color="auto"/>
          </w:divBdr>
        </w:div>
        <w:div w:id="409432015">
          <w:marLeft w:val="480"/>
          <w:marRight w:val="0"/>
          <w:marTop w:val="0"/>
          <w:marBottom w:val="0"/>
          <w:divBdr>
            <w:top w:val="none" w:sz="0" w:space="0" w:color="auto"/>
            <w:left w:val="none" w:sz="0" w:space="0" w:color="auto"/>
            <w:bottom w:val="none" w:sz="0" w:space="0" w:color="auto"/>
            <w:right w:val="none" w:sz="0" w:space="0" w:color="auto"/>
          </w:divBdr>
        </w:div>
        <w:div w:id="1841970237">
          <w:marLeft w:val="480"/>
          <w:marRight w:val="0"/>
          <w:marTop w:val="0"/>
          <w:marBottom w:val="0"/>
          <w:divBdr>
            <w:top w:val="none" w:sz="0" w:space="0" w:color="auto"/>
            <w:left w:val="none" w:sz="0" w:space="0" w:color="auto"/>
            <w:bottom w:val="none" w:sz="0" w:space="0" w:color="auto"/>
            <w:right w:val="none" w:sz="0" w:space="0" w:color="auto"/>
          </w:divBdr>
        </w:div>
        <w:div w:id="1273706094">
          <w:marLeft w:val="480"/>
          <w:marRight w:val="0"/>
          <w:marTop w:val="0"/>
          <w:marBottom w:val="0"/>
          <w:divBdr>
            <w:top w:val="none" w:sz="0" w:space="0" w:color="auto"/>
            <w:left w:val="none" w:sz="0" w:space="0" w:color="auto"/>
            <w:bottom w:val="none" w:sz="0" w:space="0" w:color="auto"/>
            <w:right w:val="none" w:sz="0" w:space="0" w:color="auto"/>
          </w:divBdr>
        </w:div>
        <w:div w:id="1242444313">
          <w:marLeft w:val="480"/>
          <w:marRight w:val="0"/>
          <w:marTop w:val="0"/>
          <w:marBottom w:val="0"/>
          <w:divBdr>
            <w:top w:val="none" w:sz="0" w:space="0" w:color="auto"/>
            <w:left w:val="none" w:sz="0" w:space="0" w:color="auto"/>
            <w:bottom w:val="none" w:sz="0" w:space="0" w:color="auto"/>
            <w:right w:val="none" w:sz="0" w:space="0" w:color="auto"/>
          </w:divBdr>
        </w:div>
      </w:divsChild>
    </w:div>
    <w:div w:id="1426459099">
      <w:bodyDiv w:val="1"/>
      <w:marLeft w:val="0"/>
      <w:marRight w:val="0"/>
      <w:marTop w:val="0"/>
      <w:marBottom w:val="0"/>
      <w:divBdr>
        <w:top w:val="none" w:sz="0" w:space="0" w:color="auto"/>
        <w:left w:val="none" w:sz="0" w:space="0" w:color="auto"/>
        <w:bottom w:val="none" w:sz="0" w:space="0" w:color="auto"/>
        <w:right w:val="none" w:sz="0" w:space="0" w:color="auto"/>
      </w:divBdr>
      <w:divsChild>
        <w:div w:id="1359549901">
          <w:marLeft w:val="0"/>
          <w:marRight w:val="0"/>
          <w:marTop w:val="0"/>
          <w:marBottom w:val="0"/>
          <w:divBdr>
            <w:top w:val="none" w:sz="0" w:space="0" w:color="auto"/>
            <w:left w:val="none" w:sz="0" w:space="0" w:color="auto"/>
            <w:bottom w:val="none" w:sz="0" w:space="0" w:color="auto"/>
            <w:right w:val="none" w:sz="0" w:space="0" w:color="auto"/>
          </w:divBdr>
        </w:div>
      </w:divsChild>
    </w:div>
    <w:div w:id="1427000356">
      <w:bodyDiv w:val="1"/>
      <w:marLeft w:val="0"/>
      <w:marRight w:val="0"/>
      <w:marTop w:val="0"/>
      <w:marBottom w:val="0"/>
      <w:divBdr>
        <w:top w:val="none" w:sz="0" w:space="0" w:color="auto"/>
        <w:left w:val="none" w:sz="0" w:space="0" w:color="auto"/>
        <w:bottom w:val="none" w:sz="0" w:space="0" w:color="auto"/>
        <w:right w:val="none" w:sz="0" w:space="0" w:color="auto"/>
      </w:divBdr>
      <w:divsChild>
        <w:div w:id="619847968">
          <w:marLeft w:val="0"/>
          <w:marRight w:val="0"/>
          <w:marTop w:val="0"/>
          <w:marBottom w:val="0"/>
          <w:divBdr>
            <w:top w:val="none" w:sz="0" w:space="0" w:color="auto"/>
            <w:left w:val="none" w:sz="0" w:space="0" w:color="auto"/>
            <w:bottom w:val="none" w:sz="0" w:space="0" w:color="auto"/>
            <w:right w:val="none" w:sz="0" w:space="0" w:color="auto"/>
          </w:divBdr>
        </w:div>
      </w:divsChild>
    </w:div>
    <w:div w:id="1624924822">
      <w:bodyDiv w:val="1"/>
      <w:marLeft w:val="0"/>
      <w:marRight w:val="0"/>
      <w:marTop w:val="0"/>
      <w:marBottom w:val="0"/>
      <w:divBdr>
        <w:top w:val="none" w:sz="0" w:space="0" w:color="auto"/>
        <w:left w:val="none" w:sz="0" w:space="0" w:color="auto"/>
        <w:bottom w:val="none" w:sz="0" w:space="0" w:color="auto"/>
        <w:right w:val="none" w:sz="0" w:space="0" w:color="auto"/>
      </w:divBdr>
      <w:divsChild>
        <w:div w:id="2102557263">
          <w:marLeft w:val="0"/>
          <w:marRight w:val="0"/>
          <w:marTop w:val="0"/>
          <w:marBottom w:val="0"/>
          <w:divBdr>
            <w:top w:val="none" w:sz="0" w:space="0" w:color="auto"/>
            <w:left w:val="none" w:sz="0" w:space="0" w:color="auto"/>
            <w:bottom w:val="none" w:sz="0" w:space="0" w:color="auto"/>
            <w:right w:val="none" w:sz="0" w:space="0" w:color="auto"/>
          </w:divBdr>
        </w:div>
      </w:divsChild>
    </w:div>
    <w:div w:id="1627393887">
      <w:bodyDiv w:val="1"/>
      <w:marLeft w:val="0"/>
      <w:marRight w:val="0"/>
      <w:marTop w:val="0"/>
      <w:marBottom w:val="0"/>
      <w:divBdr>
        <w:top w:val="none" w:sz="0" w:space="0" w:color="auto"/>
        <w:left w:val="none" w:sz="0" w:space="0" w:color="auto"/>
        <w:bottom w:val="none" w:sz="0" w:space="0" w:color="auto"/>
        <w:right w:val="none" w:sz="0" w:space="0" w:color="auto"/>
      </w:divBdr>
      <w:divsChild>
        <w:div w:id="2114931089">
          <w:marLeft w:val="0"/>
          <w:marRight w:val="0"/>
          <w:marTop w:val="0"/>
          <w:marBottom w:val="0"/>
          <w:divBdr>
            <w:top w:val="none" w:sz="0" w:space="0" w:color="auto"/>
            <w:left w:val="none" w:sz="0" w:space="0" w:color="auto"/>
            <w:bottom w:val="none" w:sz="0" w:space="0" w:color="auto"/>
            <w:right w:val="none" w:sz="0" w:space="0" w:color="auto"/>
          </w:divBdr>
        </w:div>
      </w:divsChild>
    </w:div>
    <w:div w:id="1647124505">
      <w:bodyDiv w:val="1"/>
      <w:marLeft w:val="0"/>
      <w:marRight w:val="0"/>
      <w:marTop w:val="0"/>
      <w:marBottom w:val="0"/>
      <w:divBdr>
        <w:top w:val="none" w:sz="0" w:space="0" w:color="auto"/>
        <w:left w:val="none" w:sz="0" w:space="0" w:color="auto"/>
        <w:bottom w:val="none" w:sz="0" w:space="0" w:color="auto"/>
        <w:right w:val="none" w:sz="0" w:space="0" w:color="auto"/>
      </w:divBdr>
    </w:div>
    <w:div w:id="1659924287">
      <w:bodyDiv w:val="1"/>
      <w:marLeft w:val="0"/>
      <w:marRight w:val="0"/>
      <w:marTop w:val="0"/>
      <w:marBottom w:val="0"/>
      <w:divBdr>
        <w:top w:val="none" w:sz="0" w:space="0" w:color="auto"/>
        <w:left w:val="none" w:sz="0" w:space="0" w:color="auto"/>
        <w:bottom w:val="none" w:sz="0" w:space="0" w:color="auto"/>
        <w:right w:val="none" w:sz="0" w:space="0" w:color="auto"/>
      </w:divBdr>
      <w:divsChild>
        <w:div w:id="1303465736">
          <w:marLeft w:val="0"/>
          <w:marRight w:val="0"/>
          <w:marTop w:val="0"/>
          <w:marBottom w:val="0"/>
          <w:divBdr>
            <w:top w:val="none" w:sz="0" w:space="0" w:color="auto"/>
            <w:left w:val="none" w:sz="0" w:space="0" w:color="auto"/>
            <w:bottom w:val="none" w:sz="0" w:space="0" w:color="auto"/>
            <w:right w:val="none" w:sz="0" w:space="0" w:color="auto"/>
          </w:divBdr>
        </w:div>
        <w:div w:id="1942565691">
          <w:marLeft w:val="0"/>
          <w:marRight w:val="0"/>
          <w:marTop w:val="0"/>
          <w:marBottom w:val="0"/>
          <w:divBdr>
            <w:top w:val="none" w:sz="0" w:space="0" w:color="auto"/>
            <w:left w:val="none" w:sz="0" w:space="0" w:color="auto"/>
            <w:bottom w:val="none" w:sz="0" w:space="0" w:color="auto"/>
            <w:right w:val="none" w:sz="0" w:space="0" w:color="auto"/>
          </w:divBdr>
        </w:div>
      </w:divsChild>
    </w:div>
    <w:div w:id="1724865414">
      <w:bodyDiv w:val="1"/>
      <w:marLeft w:val="0"/>
      <w:marRight w:val="0"/>
      <w:marTop w:val="0"/>
      <w:marBottom w:val="0"/>
      <w:divBdr>
        <w:top w:val="none" w:sz="0" w:space="0" w:color="auto"/>
        <w:left w:val="none" w:sz="0" w:space="0" w:color="auto"/>
        <w:bottom w:val="none" w:sz="0" w:space="0" w:color="auto"/>
        <w:right w:val="none" w:sz="0" w:space="0" w:color="auto"/>
      </w:divBdr>
      <w:divsChild>
        <w:div w:id="1801533119">
          <w:marLeft w:val="0"/>
          <w:marRight w:val="0"/>
          <w:marTop w:val="0"/>
          <w:marBottom w:val="0"/>
          <w:divBdr>
            <w:top w:val="none" w:sz="0" w:space="0" w:color="auto"/>
            <w:left w:val="none" w:sz="0" w:space="0" w:color="auto"/>
            <w:bottom w:val="none" w:sz="0" w:space="0" w:color="auto"/>
            <w:right w:val="none" w:sz="0" w:space="0" w:color="auto"/>
          </w:divBdr>
        </w:div>
      </w:divsChild>
    </w:div>
    <w:div w:id="1753968330">
      <w:bodyDiv w:val="1"/>
      <w:marLeft w:val="0"/>
      <w:marRight w:val="0"/>
      <w:marTop w:val="0"/>
      <w:marBottom w:val="0"/>
      <w:divBdr>
        <w:top w:val="none" w:sz="0" w:space="0" w:color="auto"/>
        <w:left w:val="none" w:sz="0" w:space="0" w:color="auto"/>
        <w:bottom w:val="none" w:sz="0" w:space="0" w:color="auto"/>
        <w:right w:val="none" w:sz="0" w:space="0" w:color="auto"/>
      </w:divBdr>
      <w:divsChild>
        <w:div w:id="748505866">
          <w:marLeft w:val="0"/>
          <w:marRight w:val="0"/>
          <w:marTop w:val="0"/>
          <w:marBottom w:val="0"/>
          <w:divBdr>
            <w:top w:val="none" w:sz="0" w:space="0" w:color="auto"/>
            <w:left w:val="none" w:sz="0" w:space="0" w:color="auto"/>
            <w:bottom w:val="none" w:sz="0" w:space="0" w:color="auto"/>
            <w:right w:val="none" w:sz="0" w:space="0" w:color="auto"/>
          </w:divBdr>
        </w:div>
      </w:divsChild>
    </w:div>
    <w:div w:id="1841584336">
      <w:bodyDiv w:val="1"/>
      <w:marLeft w:val="0"/>
      <w:marRight w:val="0"/>
      <w:marTop w:val="0"/>
      <w:marBottom w:val="0"/>
      <w:divBdr>
        <w:top w:val="none" w:sz="0" w:space="0" w:color="auto"/>
        <w:left w:val="none" w:sz="0" w:space="0" w:color="auto"/>
        <w:bottom w:val="none" w:sz="0" w:space="0" w:color="auto"/>
        <w:right w:val="none" w:sz="0" w:space="0" w:color="auto"/>
      </w:divBdr>
      <w:divsChild>
        <w:div w:id="567614389">
          <w:marLeft w:val="0"/>
          <w:marRight w:val="0"/>
          <w:marTop w:val="0"/>
          <w:marBottom w:val="0"/>
          <w:divBdr>
            <w:top w:val="none" w:sz="0" w:space="0" w:color="auto"/>
            <w:left w:val="none" w:sz="0" w:space="0" w:color="auto"/>
            <w:bottom w:val="none" w:sz="0" w:space="0" w:color="auto"/>
            <w:right w:val="none" w:sz="0" w:space="0" w:color="auto"/>
          </w:divBdr>
        </w:div>
      </w:divsChild>
    </w:div>
    <w:div w:id="1867022127">
      <w:bodyDiv w:val="1"/>
      <w:marLeft w:val="0"/>
      <w:marRight w:val="0"/>
      <w:marTop w:val="0"/>
      <w:marBottom w:val="0"/>
      <w:divBdr>
        <w:top w:val="none" w:sz="0" w:space="0" w:color="auto"/>
        <w:left w:val="none" w:sz="0" w:space="0" w:color="auto"/>
        <w:bottom w:val="none" w:sz="0" w:space="0" w:color="auto"/>
        <w:right w:val="none" w:sz="0" w:space="0" w:color="auto"/>
      </w:divBdr>
      <w:divsChild>
        <w:div w:id="1488280191">
          <w:marLeft w:val="0"/>
          <w:marRight w:val="0"/>
          <w:marTop w:val="0"/>
          <w:marBottom w:val="0"/>
          <w:divBdr>
            <w:top w:val="none" w:sz="0" w:space="0" w:color="auto"/>
            <w:left w:val="none" w:sz="0" w:space="0" w:color="auto"/>
            <w:bottom w:val="none" w:sz="0" w:space="0" w:color="auto"/>
            <w:right w:val="none" w:sz="0" w:space="0" w:color="auto"/>
          </w:divBdr>
        </w:div>
      </w:divsChild>
    </w:div>
    <w:div w:id="1919561150">
      <w:bodyDiv w:val="1"/>
      <w:marLeft w:val="0"/>
      <w:marRight w:val="0"/>
      <w:marTop w:val="0"/>
      <w:marBottom w:val="0"/>
      <w:divBdr>
        <w:top w:val="none" w:sz="0" w:space="0" w:color="auto"/>
        <w:left w:val="none" w:sz="0" w:space="0" w:color="auto"/>
        <w:bottom w:val="none" w:sz="0" w:space="0" w:color="auto"/>
        <w:right w:val="none" w:sz="0" w:space="0" w:color="auto"/>
      </w:divBdr>
    </w:div>
    <w:div w:id="1978533978">
      <w:bodyDiv w:val="1"/>
      <w:marLeft w:val="0"/>
      <w:marRight w:val="0"/>
      <w:marTop w:val="0"/>
      <w:marBottom w:val="0"/>
      <w:divBdr>
        <w:top w:val="none" w:sz="0" w:space="0" w:color="auto"/>
        <w:left w:val="none" w:sz="0" w:space="0" w:color="auto"/>
        <w:bottom w:val="none" w:sz="0" w:space="0" w:color="auto"/>
        <w:right w:val="none" w:sz="0" w:space="0" w:color="auto"/>
      </w:divBdr>
      <w:divsChild>
        <w:div w:id="1496338047">
          <w:marLeft w:val="0"/>
          <w:marRight w:val="0"/>
          <w:marTop w:val="0"/>
          <w:marBottom w:val="0"/>
          <w:divBdr>
            <w:top w:val="none" w:sz="0" w:space="0" w:color="auto"/>
            <w:left w:val="none" w:sz="0" w:space="0" w:color="auto"/>
            <w:bottom w:val="none" w:sz="0" w:space="0" w:color="auto"/>
            <w:right w:val="none" w:sz="0" w:space="0" w:color="auto"/>
          </w:divBdr>
        </w:div>
      </w:divsChild>
    </w:div>
    <w:div w:id="1991326016">
      <w:bodyDiv w:val="1"/>
      <w:marLeft w:val="0"/>
      <w:marRight w:val="0"/>
      <w:marTop w:val="0"/>
      <w:marBottom w:val="0"/>
      <w:divBdr>
        <w:top w:val="none" w:sz="0" w:space="0" w:color="auto"/>
        <w:left w:val="none" w:sz="0" w:space="0" w:color="auto"/>
        <w:bottom w:val="none" w:sz="0" w:space="0" w:color="auto"/>
        <w:right w:val="none" w:sz="0" w:space="0" w:color="auto"/>
      </w:divBdr>
      <w:divsChild>
        <w:div w:id="862867605">
          <w:marLeft w:val="0"/>
          <w:marRight w:val="0"/>
          <w:marTop w:val="0"/>
          <w:marBottom w:val="0"/>
          <w:divBdr>
            <w:top w:val="none" w:sz="0" w:space="0" w:color="auto"/>
            <w:left w:val="none" w:sz="0" w:space="0" w:color="auto"/>
            <w:bottom w:val="none" w:sz="0" w:space="0" w:color="auto"/>
            <w:right w:val="none" w:sz="0" w:space="0" w:color="auto"/>
          </w:divBdr>
        </w:div>
      </w:divsChild>
    </w:div>
    <w:div w:id="2027753806">
      <w:bodyDiv w:val="1"/>
      <w:marLeft w:val="0"/>
      <w:marRight w:val="0"/>
      <w:marTop w:val="0"/>
      <w:marBottom w:val="0"/>
      <w:divBdr>
        <w:top w:val="none" w:sz="0" w:space="0" w:color="auto"/>
        <w:left w:val="none" w:sz="0" w:space="0" w:color="auto"/>
        <w:bottom w:val="none" w:sz="0" w:space="0" w:color="auto"/>
        <w:right w:val="none" w:sz="0" w:space="0" w:color="auto"/>
      </w:divBdr>
      <w:divsChild>
        <w:div w:id="1354695747">
          <w:marLeft w:val="0"/>
          <w:marRight w:val="0"/>
          <w:marTop w:val="0"/>
          <w:marBottom w:val="0"/>
          <w:divBdr>
            <w:top w:val="none" w:sz="0" w:space="0" w:color="auto"/>
            <w:left w:val="none" w:sz="0" w:space="0" w:color="auto"/>
            <w:bottom w:val="none" w:sz="0" w:space="0" w:color="auto"/>
            <w:right w:val="none" w:sz="0" w:space="0" w:color="auto"/>
          </w:divBdr>
        </w:div>
      </w:divsChild>
    </w:div>
    <w:div w:id="2062097329">
      <w:bodyDiv w:val="1"/>
      <w:marLeft w:val="0"/>
      <w:marRight w:val="0"/>
      <w:marTop w:val="0"/>
      <w:marBottom w:val="0"/>
      <w:divBdr>
        <w:top w:val="none" w:sz="0" w:space="0" w:color="auto"/>
        <w:left w:val="none" w:sz="0" w:space="0" w:color="auto"/>
        <w:bottom w:val="none" w:sz="0" w:space="0" w:color="auto"/>
        <w:right w:val="none" w:sz="0" w:space="0" w:color="auto"/>
      </w:divBdr>
      <w:divsChild>
        <w:div w:id="1070271669">
          <w:marLeft w:val="0"/>
          <w:marRight w:val="0"/>
          <w:marTop w:val="0"/>
          <w:marBottom w:val="0"/>
          <w:divBdr>
            <w:top w:val="none" w:sz="0" w:space="0" w:color="auto"/>
            <w:left w:val="none" w:sz="0" w:space="0" w:color="auto"/>
            <w:bottom w:val="none" w:sz="0" w:space="0" w:color="auto"/>
            <w:right w:val="none" w:sz="0" w:space="0" w:color="auto"/>
          </w:divBdr>
        </w:div>
      </w:divsChild>
    </w:div>
    <w:div w:id="2064786994">
      <w:bodyDiv w:val="1"/>
      <w:marLeft w:val="0"/>
      <w:marRight w:val="0"/>
      <w:marTop w:val="0"/>
      <w:marBottom w:val="0"/>
      <w:divBdr>
        <w:top w:val="none" w:sz="0" w:space="0" w:color="auto"/>
        <w:left w:val="none" w:sz="0" w:space="0" w:color="auto"/>
        <w:bottom w:val="none" w:sz="0" w:space="0" w:color="auto"/>
        <w:right w:val="none" w:sz="0" w:space="0" w:color="auto"/>
      </w:divBdr>
    </w:div>
    <w:div w:id="2131245755">
      <w:bodyDiv w:val="1"/>
      <w:marLeft w:val="0"/>
      <w:marRight w:val="0"/>
      <w:marTop w:val="0"/>
      <w:marBottom w:val="0"/>
      <w:divBdr>
        <w:top w:val="none" w:sz="0" w:space="0" w:color="auto"/>
        <w:left w:val="none" w:sz="0" w:space="0" w:color="auto"/>
        <w:bottom w:val="none" w:sz="0" w:space="0" w:color="auto"/>
        <w:right w:val="none" w:sz="0" w:space="0" w:color="auto"/>
      </w:divBdr>
      <w:divsChild>
        <w:div w:id="12075277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ntaranews.com/berita/3786159/sistem-keuangan-china-janjikan-upaya-untuk-dukung-ekonomi-riil?utm_source=chatgpt.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239E0740-109E-468A-B1F1-74D4680A4579}"/>
      </w:docPartPr>
      <w:docPartBody>
        <w:p w:rsidR="006C1760" w:rsidRDefault="00CC7D12">
          <w:r w:rsidRPr="0012072F">
            <w:rPr>
              <w:rStyle w:val="PlaceholderText"/>
            </w:rPr>
            <w:t>Click or tap here to enter text.</w:t>
          </w:r>
        </w:p>
      </w:docPartBody>
    </w:docPart>
    <w:docPart>
      <w:docPartPr>
        <w:name w:val="74C2E9F0DE1D4F2A8F09C8B3EF05ABDE"/>
        <w:category>
          <w:name w:val="General"/>
          <w:gallery w:val="placeholder"/>
        </w:category>
        <w:types>
          <w:type w:val="bbPlcHdr"/>
        </w:types>
        <w:behaviors>
          <w:behavior w:val="content"/>
        </w:behaviors>
        <w:guid w:val="{8F0C111E-AE31-40A0-8708-58D2A42E2CBF}"/>
      </w:docPartPr>
      <w:docPartBody>
        <w:p w:rsidR="00522FCA" w:rsidRDefault="00950F71" w:rsidP="00950F71">
          <w:pPr>
            <w:pStyle w:val="74C2E9F0DE1D4F2A8F09C8B3EF05ABDE"/>
          </w:pPr>
          <w:r w:rsidRPr="0012072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7D12"/>
    <w:rsid w:val="001E0AC5"/>
    <w:rsid w:val="002F741B"/>
    <w:rsid w:val="00522FCA"/>
    <w:rsid w:val="00540D3C"/>
    <w:rsid w:val="00683100"/>
    <w:rsid w:val="006C1760"/>
    <w:rsid w:val="00726B1E"/>
    <w:rsid w:val="0084158A"/>
    <w:rsid w:val="00911C2F"/>
    <w:rsid w:val="00950F71"/>
    <w:rsid w:val="00966E77"/>
    <w:rsid w:val="00991C1C"/>
    <w:rsid w:val="009A3CEF"/>
    <w:rsid w:val="009D2CE3"/>
    <w:rsid w:val="00A9621B"/>
    <w:rsid w:val="00C92D38"/>
    <w:rsid w:val="00CA1C0B"/>
    <w:rsid w:val="00CA52B9"/>
    <w:rsid w:val="00CA7B9B"/>
    <w:rsid w:val="00CC7D12"/>
    <w:rsid w:val="00D0796E"/>
    <w:rsid w:val="00D40CD7"/>
    <w:rsid w:val="00DB39C7"/>
    <w:rsid w:val="00E314F6"/>
    <w:rsid w:val="00F160CA"/>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ID" w:eastAsia="en-ID"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50F71"/>
    <w:rPr>
      <w:color w:val="666666"/>
    </w:rPr>
  </w:style>
  <w:style w:type="paragraph" w:customStyle="1" w:styleId="74C2E9F0DE1D4F2A8F09C8B3EF05ABDE">
    <w:name w:val="74C2E9F0DE1D4F2A8F09C8B3EF05ABDE"/>
    <w:rsid w:val="00950F7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0">
    <wetp:webextensionref xmlns:r="http://schemas.openxmlformats.org/officeDocument/2006/relationships" r:id="rId1"/>
  </wetp:taskpane>
  <wetp:taskpane dockstate="right" visibility="0" width="568" row="0">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78F14768-A978-4AB8-9F26-18A2EAF9EB84}">
  <we:reference id="wa104382081" version="1.55.1.0" store="en-US" storeType="OMEX"/>
  <we:alternateReferences>
    <we:reference id="wa104382081" version="1.55.1.0" store="wa104382081" storeType="OMEX"/>
  </we:alternateReferences>
  <we:properties>
    <we:property name="MENDELEY_CITATIONS" value="[{&quot;citationID&quot;:&quot;MENDELEY_CITATION_bcd22de6-5c7d-41bd-b4cc-2f7ed3050250&quot;,&quot;citationItems&quot;:[{&quot;id&quot;:&quot;14842ec2-0568-53f6-8c7d-fd2bfa8846d0&quot;,&quot;itemData&quot;:{&quot;author&quot;:[{&quot;dropping-particle&quot;:&quot;&quot;,&quot;family&quot;:&quot;Safitri&quot;,&quot;given&quot;:&quot;Riska Aulia&quot;,&quot;non-dropping-particle&quot;:&quot;&quot;,&quot;parse-names&quot;:false,&quot;suffix&quot;:&quot;&quot;},{&quot;dropping-particle&quot;:&quot;&quot;,&quot;family&quot;:&quot;Faqih&quot;,&quot;given&quot;:&quot;Abdulloh&quot;,&quot;non-dropping-particle&quot;:&quot;&quot;,&quot;parse-names&quot;:false,&quot;suffix&quot;:&quot;&quot;},{&quot;dropping-particle&quot;:&quot;&quot;,&quot;family&quot;:&quot;Madura&quot;,&quot;given&quot;:&quot;Universitas Trunojoyo&quot;,&quot;non-dropping-particle&quot;:&quot;&quot;,&quot;parse-names&quot;:false,&quot;suffix&quot;:&quot;&quot;}],&quot;id&quot;:&quot;14842ec2-0568-53f6-8c7d-fd2bfa8846d0&quot;,&quot;issue&quot;:&quot;6&quot;,&quot;issued&quot;:{&quot;date-parts&quot;:[[&quot;2024&quot;]]},&quot;title&quot;:&quot;Analisis peran kebijakan moneter dalam upaya pembangunan ekonomi berkelanjutan dalam tinjauan ekonomi syariah&quot;,&quot;type&quot;:&quot;article-journal&quot;,&quot;volume&quot;:&quot;2&quot;},&quot;uris&quot;:[&quot;http://www.mendeley.com/documents/?uuid=3cfcb244-0abc-43b3-afd6-737f7dd6f31c&quot;],&quot;isTemporary&quot;:false,&quot;legacyDesktopId&quot;:&quot;3cfcb244-0abc-43b3-afd6-737f7dd6f31c&quot;}],&quot;properties&quot;:{&quot;noteIndex&quot;:0},&quot;isEdited&quot;:false,&quot;manualOverride&quot;:{&quot;citeprocText&quot;:&quot;(Safitri, Faqih, and Madura 2024)&quot;,&quot;isManuallyOverridden&quot;:false,&quot;manualOverrideText&quot;:&quot;&quot;},&quot;citationTag&quot;:&quot;MENDELEY_CITATION_v3_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&quot;},{&quot;citationID&quot;:&quot;MENDELEY_CITATION_f9b74316-7f22-4985-88cd-50fd5dc8c6aa&quot;,&quot;citationItems&quot;:[{&quot;id&quot;:&quot;cda84bcd-4bca-5ada-806f-f9fdbb7fd2bc&quot;,&quot;itemData&quot;:{&quot;DOI&quot;:&quot;10.36769/asy.v16i1.221&quot;,&quot;ISSN&quot;:&quot;1693-136X&quot;,&quot;abstract&quot;:&quot;The development of Islamic economic theory starts from the revelation of the verses about the economy in the Qur'an, such as: Q.S. Al-Baqarah verse 275 and 279 on the sale and usury; Q.S. Al-Baqarah verse 282 of bookkeeping transactions; Q.S. Al-Maidah paragraph 1 of the contract; Q.S. An-Nisa 'verse 5 and 10 as well as Q.S. Al-Araf verse 31 about the search settings, care and spend their wealth. According to At-Tariqi, these verses show that Islam has set economic staple since pensyariatan Islam (time of the Prophet.), And methodically continued by his successors (rashidun). At this time, the shape perokonomian problems have not been very varied, so the theories that emerged was not diverse. It's just a very substantial from the development of this thinking is the commitment to the realization of the vision of Islam rahmatan lil 'alamin.&quot;,&quot;author&quot;:[{&quot;dropping-particle&quot;:&quot;&quot;,&quot;family&quot;:&quot;Marasabessy&quot;,&quot;given&quot;:&quot;Ruslan Husen&quot;,&quot;non-dropping-particle&quot;:&quot;&quot;,&quot;parse-names&quot;:false,&quot;suffix&quot;:&quot;&quot;}],&quot;container-title&quot;:&quot;Jurnal Asy-Syukriyyah&quot;,&quot;id&quot;:&quot;cda84bcd-4bca-5ada-806f-f9fdbb7fd2bc&quot;,&quot;issue&quot;:&quot;1&quot;,&quot;issued&quot;:{&quot;date-parts&quot;:[[&quot;2022&quot;]]},&quot;page&quot;:&quot;72-87&quot;,&quot;title&quot;:&quot;Sejarah Pemikiran Ekonomi Islam Klasik&quot;,&quot;type&quot;:&quot;article-journal&quot;,&quot;volume&quot;:&quot;16&quot;},&quot;uris&quot;:[&quot;http://www.mendeley.com/documents/?uuid=aa02fdb4-d422-4044-b457-16ca806cefa0&quot;],&quot;isTemporary&quot;:false,&quot;legacyDesktopId&quot;:&quot;aa02fdb4-d422-4044-b457-16ca806cefa0&quot;}],&quot;properties&quot;:{&quot;noteIndex&quot;:0},&quot;isEdited&quot;:false,&quot;manualOverride&quot;:{&quot;citeprocText&quot;:&quot;(Marasabessy 2022)&quot;,&quot;isManuallyOverridden&quot;:false,&quot;manualOverrideText&quot;:&quot;&quot;},&quot;citationTag&quot;:&quot;MENDELEY_CITATION_v3_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&quot;},{&quot;citationID&quot;:&quot;MENDELEY_CITATION_edd50169-0589-44fb-b2b8-8bed71aef159&quot;,&quot;citationItems&quot;:[{&quot;id&quot;:&quot;c8445819-ecc6-5be4-9cc9-d8fb89093548&quot;,&quot;itemData&quot;:{&quot;DOI&quot;:&quot;10.21111/tsaqafah.v9i1.38&quot;,&quot;ISSN&quot;:&quot;1411-0334&quot;,&quot;abstract&quot;:&quot;Dalam sistem ekonomi Islam, peran pemerintah sangat krusial. Pemerintah mengambil sikap tegas tidak hanya pada penerapan Syariah oleh masyarakat umum, tetapi juga pada kebijakan ekonomi, seperti Pemenuhan kebutuhan dasar seperti sandang, pangan dan papan serta pendidikan dan kesehatan dengan tetap menjaga kerahasiaan . Kontrak kerja, kontrol nilai tukar dan pencegahan kenaikan harga. Inflasi. Untuk mencapai tujuan tersebut, pemerintah harus memiliki sumber daya yang cukup sesuai dengan tujuan dan sasaran yang telah ditetapkan untuk mendukung pertumbuhan ekonomi nasional. Dan satu-satunya aspek keuangan adalah uang. Kebijakan moneter adalah kebijakan yang dirancang untuk mengatur aliran uang dalam perekonomian guna menjaga stabilitas harga, inflasi terkendali, lapangan kerja penuh dan pertumbuhan ekonomi yang berkelanjutan. Penulis artikel ini mencoba untuk menyelidiki dampak kebijakan moneter dan hubungannya dengan perkembangan sistem ekonomi Islam dari perspektif teoritis dan konseptual. Kajian tersebut menyatakan bahwa tidak ada perbedaan peran kebijakan moneter baik dalam perspektif ekonomi Islam maupun modern, kecuali bahwa dalam perspektif ekonomi Islam pemerintah harus menjamin terpeliharanya nilai-nilai. pasar, seperti cadangan wajib dan pengaturan pembayaran bunga pinjaman, segala sesuatu yang dilakukan dalam bisnis ini dilakukan sesuai dengan prinsip Islam dan didasarkan pada praktik riba&quot;,&quot;author&quot;:[{&quot;dropping-particle&quot;:&quot;&quot;,&quot;family&quot;:&quot;Mansur&quot;,&quot;given&quot;:&quot;Ahmad&quot;,&quot;non-dropping-particle&quot;:&quot;&quot;,&quot;parse-names&quot;:false,&quot;suffix&quot;:&quot;&quot;}],&quot;container-title&quot;:&quot;Tsaqafah&quot;,&quot;id&quot;:&quot;c8445819-ecc6-5be4-9cc9-d8fb89093548&quot;,&quot;issue&quot;:&quot;1&quot;,&quot;issued&quot;:{&quot;date-parts&quot;:[[&quot;2013&quot;]]},&quot;page&quot;:&quot;57&quot;,&quot;title&quot;:&quot;Kebijakan Moneter dan Implikasinya terhadap Pembangunan Ekonomi dalam Perspektif Islam&quot;,&quot;type&quot;:&quot;article-journal&quot;,&quot;volume&quot;:&quot;9&quot;},&quot;uris&quot;:[&quot;http://www.mendeley.com/documents/?uuid=64b656ce-e710-4851-a70d-9868ddf5fd63&quot;],&quot;isTemporary&quot;:false,&quot;legacyDesktopId&quot;:&quot;64b656ce-e710-4851-a70d-9868ddf5fd63&quot;}],&quot;properties&quot;:{&quot;noteIndex&quot;:0},&quot;isEdited&quot;:false,&quot;manualOverride&quot;:{&quot;citeprocText&quot;:&quot;(Mansur 2013)&quot;,&quot;isManuallyOverridden&quot;:false,&quot;manualOverrideText&quot;:&quot;&quot;},&quot;citationTag&quot;:&quot;MENDELEY_CITATION_v3_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&quot;},{&quot;citationID&quot;:&quot;MENDELEY_CITATION_9b4ea935-ce77-43e5-a033-939e786dae77&quot;,&quot;citationItems&quot;:[{&quot;id&quot;:&quot;65e58933-22f1-568c-b875-58e48a5f1282&quot;,&quot;itemData&quot;:{&quot;DOI&quot;:&quot;10.30984/kunuz.v3i1.601&quot;,&quot;ISSN&quot;:&quot;2807-680X&quot;,&quot;abstract&quot;:&quot;This study identifies monetary policy instruments that can be adopted or adapted to Islamic values to achieve the goal of controlling the circulation of money. Monetary policy has a central role in managing a country's economy, and the adoption of Islamic values in monetary policy instruments is increasingly gaining attention in the context of Islamic economics. This research uses a library approach by analyzing information sourced from articles, books, journals and various other documentation. The findings of this study explain that the adoption of Islamic values in monetary policy instruments can provide significant benefits in achieving sustainable economic goals and in accordance with Sharia principles. However, implementation challenges are also a concern, including technical aspects and a deep understanding of the principles of Islamic economics. Therefore, we propose practical guidance for monetary authorities in implementing monetary policy instruments inspired by Islamic values. Thus, contribution in formulating alternative monetary policies that integrate Islamic values with modern practices, as well as encourage the development of a more inclusive and sustainable economic system.&quot;,&quot;author&quot;:[{&quot;dropping-particle&quot;:&quot;&quot;,&quot;family&quot;:&quot;Alwaris&quot;,&quot;given&quot;:&quot;Sri Ayu Andari Putri&quot;,&quot;non-dropping-particle&quot;:&quot;&quot;,&quot;parse-names&quot;:false,&quot;suffix&quot;:&quot;&quot;},{&quot;dropping-particle&quot;:&quot;&quot;,&quot;family&quot;:&quot;Hasan&quot;,&quot;given&quot;:&quot;Nugraha&quot;,&quot;non-dropping-particle&quot;:&quot;&quot;,&quot;parse-names&quot;:false,&quot;suffix&quot;:&quot;&quot;}],&quot;container-title&quot;:&quot;Kunuz: Journal of Islamic Banking and Finance&quot;,&quot;id&quot;:&quot;65e58933-22f1-568c-b875-58e48a5f1282&quot;,&quot;issue&quot;:&quot;1&quot;,&quot;issued&quot;:{&quot;date-parts&quot;:[[&quot;2023&quot;]]},&quot;page&quot;:&quot;65-77&quot;,&quot;title&quot;:&quot;Adopsi Nilai-Nilai Islam pada Instrumen Kebijakan Moneter dalam Mengontrol Peredaran Uang&quot;,&quot;type&quot;:&quot;article-journal&quot;,&quot;volume&quot;:&quot;3&quot;},&quot;uris&quot;:[&quot;http://www.mendeley.com/documents/?uuid=a395b090-7cbe-4339-9d4b-35b8d0fdc77d&quot;],&quot;isTemporary&quot;:false,&quot;legacyDesktopId&quot;:&quot;a395b090-7cbe-4339-9d4b-35b8d0fdc77d&quot;}],&quot;properties&quot;:{&quot;noteIndex&quot;:0},&quot;isEdited&quot;:false,&quot;manualOverride&quot;:{&quot;citeprocText&quot;:&quot;(Alwaris and Hasan 2023)&quot;,&quot;isManuallyOverridden&quot;:false,&quot;manualOverrideText&quot;:&quot;&quot;},&quot;citationTag&quot;:&quot;MENDELEY_CITATION_v3_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&quot;},{&quot;citationID&quot;:&quot;MENDELEY_CITATION_5ce0c809-5d4b-41bb-9990-71be43c9746c&quot;,&quot;citationItems&quot;:[{&quot;id&quot;:&quot;d0a61d21-9838-5e38-b97b-69004a496564&quot;,&quot;itemData&quot;:{&quot;abstract&quot;:&quot;… syariah yang membentuk masyarakat muslim, sehingga … Dengan kata lain, ekonomi hijau mencerminkan ekonomi syariah. … ekonomi syariah untuk memainkan peran yang lebih besar …&quot;,&quot;author&quot;:[{&quot;dropping-particle&quot;:&quot;&quot;,&quot;family&quot;:&quot;Yunita&quot;,&quot;given&quot;:&quot;&quot;,&quot;non-dropping-particle&quot;:&quot;&quot;,&quot;parse-names&quot;:false,&quot;suffix&quot;:&quot;&quot;},{&quot;dropping-particle&quot;:&quot;&quot;,&quot;family&quot;:&quot;Astuti&quot;,&quot;given&quot;:&quot;Novia&quot;,&quot;non-dropping-particle&quot;:&quot;&quot;,&quot;parse-names&quot;:false,&quot;suffix&quot;:&quot;&quot;}],&quot;id&quot;:&quot;d0a61d21-9838-5e38-b97b-69004a496564&quot;,&quot;issue&quot;:&quot;4&quot;,&quot;issued&quot;:{&quot;date-parts&quot;:[[&quot;2024&quot;]]},&quot;page&quot;:&quot;63-69&quot;,&quot;title&quot;:&quot;Pembangunan ekonomi syariah dan hukum ekonomi berkelanjutan&quot;,&quot;type&quot;:&quot;article-journal&quot;,&quot;volume&quot;:&quot;1&quot;},&quot;uris&quot;:[&quot;http://www.mendeley.com/documents/?uuid=60a1a02a-b635-4f07-aadb-929fb05a89b4&quot;],&quot;isTemporary&quot;:false,&quot;legacyDesktopId&quot;:&quot;60a1a02a-b635-4f07-aadb-929fb05a89b4&quot;}],&quot;properties&quot;:{&quot;noteIndex&quot;:0},&quot;isEdited&quot;:false,&quot;manualOverride&quot;:{&quot;citeprocText&quot;:&quot;(Yunita and Astuti 2024)&quot;,&quot;isManuallyOverridden&quot;:false,&quot;manualOverrideText&quot;:&quot;&quot;},&quot;citationTag&quot;:&quot;MENDELEY_CITATION_v3_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&quot;},{&quot;citationID&quot;:&quot;MENDELEY_CITATION_1e9885a8-208c-4128-876d-64e9b033e151&quot;,&quot;citationItems&quot;:[{&quot;id&quot;:&quot;14842ec2-0568-53f6-8c7d-fd2bfa8846d0&quot;,&quot;itemData&quot;:{&quot;author&quot;:[{&quot;dropping-particle&quot;:&quot;&quot;,&quot;family&quot;:&quot;Safitri&quot;,&quot;given&quot;:&quot;Riska Aulia&quot;,&quot;non-dropping-particle&quot;:&quot;&quot;,&quot;parse-names&quot;:false,&quot;suffix&quot;:&quot;&quot;},{&quot;dropping-particle&quot;:&quot;&quot;,&quot;family&quot;:&quot;Faqih&quot;,&quot;given&quot;:&quot;Abdulloh&quot;,&quot;non-dropping-particle&quot;:&quot;&quot;,&quot;parse-names&quot;:false,&quot;suffix&quot;:&quot;&quot;},{&quot;dropping-particle&quot;:&quot;&quot;,&quot;family&quot;:&quot;Madura&quot;,&quot;given&quot;:&quot;Universitas Trunojoyo&quot;,&quot;non-dropping-particle&quot;:&quot;&quot;,&quot;parse-names&quot;:false,&quot;suffix&quot;:&quot;&quot;}],&quot;id&quot;:&quot;14842ec2-0568-53f6-8c7d-fd2bfa8846d0&quot;,&quot;issue&quot;:&quot;6&quot;,&quot;issued&quot;:{&quot;date-parts&quot;:[[&quot;2024&quot;]]},&quot;title&quot;:&quot;Analisis peran kebijakan moneter dalam upaya pembangunan ekonomi berkelanjutan dalam tinjauan ekonomi syariah&quot;,&quot;type&quot;:&quot;article-journal&quot;,&quot;volume&quot;:&quot;2&quot;},&quot;uris&quot;:[&quot;http://www.mendeley.com/documents/?uuid=3cfcb244-0abc-43b3-afd6-737f7dd6f31c&quot;],&quot;isTemporary&quot;:false,&quot;legacyDesktopId&quot;:&quot;3cfcb244-0abc-43b3-afd6-737f7dd6f31c&quot;}],&quot;properties&quot;:{&quot;noteIndex&quot;:0},&quot;isEdited&quot;:false,&quot;manualOverride&quot;:{&quot;citeprocText&quot;:&quot;(Safitri et al. 2024)&quot;,&quot;isManuallyOverridden&quot;:false,&quot;manualOverrideText&quot;:&quot;&quot;},&quot;citationTag&quot;:&quot;MENDELEY_CITATION_v3_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&quot;}]"/>
    <we:property name="MENDELEY_CITATIONS_STYLE" value="{&quot;id&quot;:&quot;https://www.zotero.org/styles/american-sociological-association&quot;,&quot;title&quot;:&quot;American Sociological Association 6th/7th edition&quot;,&quot;format&quot;:&quot;author-date&quot;,&quot;defaultLocale&quot;:null,&quot;isLocaleCodeValid&quot;:true}"/>
  </we:properties>
  <we:bindings/>
  <we:snapshot xmlns:r="http://schemas.openxmlformats.org/officeDocument/2006/relationships"/>
</we:webextension>
</file>

<file path=word/webextensions/webextension2.xml><?xml version="1.0" encoding="utf-8"?>
<we:webextension xmlns:we="http://schemas.microsoft.com/office/webextensions/webextension/2010/11" id="{052BD1C6-FC14-472D-9D69-E6D93AC5915C}">
  <we:reference id="wa200005502" version="1.0.0.11" store="en-US" storeType="OMEX"/>
  <we:alternateReferences>
    <we:reference id="wa200005502" version="1.0.0.11" store="wa200005502" storeType="OMEX"/>
  </we:alternateReferences>
  <we:properties>
    <we:property name="docId" value="&quot;gLa0sLh__8nvKAhjzBKzN&quot;"/>
    <we:property name="data" value="{&quot;version&quot;:5,&quot;settings&quot;:{&quot;behavior&quot;:{&quot;key&quot;:&quot;custom-message&quot;,&quot;title&quot;:&quot;Write custom instructions&quot;,&quot;content&quot;:&quot;I want you to act as a text assistant. Provide your answers without any introductory phrase.&quot;},&quot;showIntro&quot;:true,&quot;contextMode&quot;:false,&quot;plainTextMode&quot;:false},&quot;threads&quot;:[{&quot;id&quot;:&quot;C-fAaQFEX5JWHZplVS9DR&quot;,&quot;context&quot;:{&quot;type&quot;:null},&quot;queries&quot;:[{&quot;id&quot;:&quot;ojxtLdMyi7xQId_p1_QAr&quot;,&quot;user&quot;:&quot;apa itu sdg&quot;,&quot;assistant&quot;:&quot;&lt;p&gt;The Sustainable Development Goals (SDGs) are a collection of 17 global goals set by the United Nations General Assembly in 2015 for the year 2030. They are designed to tackle global challenges we face, including those related to poverty, inequality, climate, environmental degradation, prosperity, and peace and justice.&lt;/p&gt;&quot;},{&quot;id&quot;:&quot;RzhudQwvjpZP5wYLlSTQj&quot;,&quot;user&quot;:&quot;jelaskan dalam bahasa indonesia&quot;,&quot;assistant&quot;:&quot;&lt;p&gt;Pokok-pokok keberlanjutan (SDGs) adalah kumpulan 17 tujuan global yang ditetapkan oleh Majelis Umum PBB pada tahun 2015 untuk tahun 2030. Mereka dirancang untuk mengatasi tantangan global yang kita hadapi, termasuk yang berkaitan dengan kemiskinan, ketimpangan, iklim, degradasi lingkungan, kemakmuran, perdamaian, dan keadilan.&lt;/p&gt;&quot;},{&quot;id&quot;:&quot;4QSZAxwaDVXh7SZeWbWTS&quot;,&quot;user&quot;:&quot;apakah bisa menggambarka tentang kemisakinan dalam perspektif islam&quot;,&quot;assistant&quot;:&quot;&lt;p&gt;Dalam perspektif Islam, kemiskinan dilihat sebagai tantangan sosial yang harus diatasi secara kolektif dan pribadi. Islam mendorong umatnya untuk membantu mereka yang membutuhkan melalui berbagai cara, seperti zakat (sedekah wajib), sedekah (amal sukarela), dan wakaf (hibah untuk tujuan umum). Prinsip keadilan sosial menjadi inti, mengajarkan bahwa kekayaan harus didistribusikan dengan adil, dan tidak boleh hanya terpusat pada sekelompok kecil orang. Islam juga menekankan pentingnya usaha dan kerja keras, serta memberikan peluang bagi semua individu untuk berkembang dan mendapatkan penghidupan yang layak.&lt;/p&gt;&quot;},{&quot;id&quot;:&quot;CofPZHfW8I0QsvlVfErUB&quot;,&quot;user&quot;:&quot;makro ekonomi&quot;,&quot;assistant&quot;:&quot;&lt;p&gt;Makroekonomi adalah cabang ilmu ekonomi yang mempelajari struktur, perilaku, kinerja, dan keputusan-keputusan ekonomi suatu negara atau wilayah. Fokus utamanya adalah analisis fenomena ekonomi besar seperti tingkat pengangguran, inflasi, pertumbuhan ekonomi, dan kebijakan fiskal serta moneter. Makroekonomi membantu pembuat kebijakan dan pelaku bisnis dalam memahami dinamika ekonomi yang lebih luas dan merumuskan strategi untuk stabilitas serta pertumbuhan ekonomi jangka panjang.&lt;/p&gt;&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138099-1953-4A6A-BBA7-AAB8EE5112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1723</TotalTime>
  <Pages>11</Pages>
  <Words>16512</Words>
  <Characters>94122</Characters>
  <Application>Microsoft Office Word</Application>
  <DocSecurity>0</DocSecurity>
  <Lines>784</Lines>
  <Paragraphs>220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Robot</dc:creator>
  <cp:keywords/>
  <dc:description/>
  <cp:lastModifiedBy>acer sn80023</cp:lastModifiedBy>
  <cp:revision>53</cp:revision>
  <dcterms:created xsi:type="dcterms:W3CDTF">2024-09-23T02:49:00Z</dcterms:created>
  <dcterms:modified xsi:type="dcterms:W3CDTF">2026-10-18T06:03:00Z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a690f4fc-5edb-328b-8d99-50d95fd25dc2</vt:lpwstr>
  </property>
  <property fmtid="{D5CDD505-2E9C-101B-9397-08002B2CF9AE}" pid="4" name="Mendeley Citation Style_1">
    <vt:lpwstr>http://www.zotero.org/styles/american-sociological-association</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6th/7th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4th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