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C51B" w14:textId="77777777" w:rsidR="00E075C2" w:rsidRPr="00E075C2" w:rsidRDefault="004F181F" w:rsidP="00FD59EE">
      <w:pPr>
        <w:pBdr>
          <w:bottom w:val="single" w:sz="4" w:space="1" w:color="auto"/>
        </w:pBdr>
        <w:spacing w:after="0" w:line="360" w:lineRule="auto"/>
        <w:jc w:val="center"/>
        <w:rPr>
          <w:rFonts w:ascii="Times New Roman" w:eastAsia="Times New Roman" w:hAnsi="Times New Roman" w:cs="Times New Roman"/>
          <w:b/>
          <w:sz w:val="28"/>
          <w:szCs w:val="28"/>
        </w:rPr>
      </w:pPr>
      <w:r w:rsidRPr="00E075C2">
        <w:rPr>
          <w:rFonts w:ascii="Times New Roman" w:eastAsia="Times New Roman" w:hAnsi="Times New Roman" w:cs="Times New Roman"/>
          <w:b/>
          <w:sz w:val="28"/>
          <w:szCs w:val="28"/>
        </w:rPr>
        <w:t>Hubungan Kebijakan Moneter Islam dengan Perekonomian Indonesia</w:t>
      </w:r>
      <w:r w:rsidR="00E075C2" w:rsidRPr="00E075C2">
        <w:rPr>
          <w:rFonts w:ascii="Times New Roman" w:eastAsia="Times New Roman" w:hAnsi="Times New Roman" w:cs="Times New Roman"/>
          <w:b/>
          <w:sz w:val="28"/>
          <w:szCs w:val="28"/>
        </w:rPr>
        <w:t xml:space="preserve"> </w:t>
      </w:r>
    </w:p>
    <w:p w14:paraId="00000002" w14:textId="34DA9CFE" w:rsidR="00596A2A" w:rsidRDefault="00E075C2" w:rsidP="00FD59EE">
      <w:pPr>
        <w:pBdr>
          <w:bottom w:val="single" w:sz="4" w:space="1" w:color="auto"/>
        </w:pBdr>
        <w:spacing w:after="0" w:line="360" w:lineRule="auto"/>
        <w:jc w:val="center"/>
        <w:rPr>
          <w:rFonts w:ascii="Times New Roman" w:eastAsia="Times New Roman" w:hAnsi="Times New Roman" w:cs="Times New Roman"/>
          <w:b/>
          <w:sz w:val="28"/>
          <w:szCs w:val="28"/>
        </w:rPr>
      </w:pPr>
      <w:r w:rsidRPr="00E075C2">
        <w:rPr>
          <w:rFonts w:ascii="Times New Roman" w:eastAsia="Times New Roman" w:hAnsi="Times New Roman" w:cs="Times New Roman"/>
          <w:b/>
          <w:sz w:val="28"/>
          <w:szCs w:val="28"/>
        </w:rPr>
        <w:t>(Analisis Dampak Terhadap Perekonomian)</w:t>
      </w:r>
    </w:p>
    <w:p w14:paraId="5472E454" w14:textId="77777777" w:rsidR="00E075C2" w:rsidRPr="00E075C2" w:rsidRDefault="00E075C2" w:rsidP="00FD59EE">
      <w:pPr>
        <w:pBdr>
          <w:bottom w:val="single" w:sz="4" w:space="1" w:color="auto"/>
        </w:pBdr>
        <w:spacing w:after="0" w:line="360" w:lineRule="auto"/>
        <w:jc w:val="center"/>
        <w:rPr>
          <w:rFonts w:ascii="Times New Roman" w:eastAsia="Times New Roman" w:hAnsi="Times New Roman" w:cs="Times New Roman"/>
          <w:b/>
          <w:sz w:val="28"/>
          <w:szCs w:val="28"/>
        </w:rPr>
      </w:pPr>
    </w:p>
    <w:p w14:paraId="00000003" w14:textId="17EF89DF" w:rsidR="00596A2A" w:rsidRPr="00E075C2" w:rsidRDefault="004F181F" w:rsidP="00FD59EE">
      <w:pPr>
        <w:pBdr>
          <w:bottom w:val="single" w:sz="4" w:space="1" w:color="auto"/>
        </w:pBdr>
        <w:spacing w:after="0" w:line="360" w:lineRule="auto"/>
        <w:jc w:val="center"/>
        <w:rPr>
          <w:rFonts w:ascii="Times New Roman" w:eastAsia="Times New Roman" w:hAnsi="Times New Roman" w:cs="Times New Roman"/>
          <w:bCs/>
          <w:vertAlign w:val="superscript"/>
        </w:rPr>
      </w:pPr>
      <w:r w:rsidRPr="00E075C2">
        <w:rPr>
          <w:rFonts w:ascii="Times New Roman" w:eastAsia="Times New Roman" w:hAnsi="Times New Roman" w:cs="Times New Roman"/>
          <w:bCs/>
        </w:rPr>
        <w:t>Siti Nurhasanah</w:t>
      </w:r>
      <w:r w:rsidRPr="00E075C2">
        <w:rPr>
          <w:rFonts w:ascii="Times New Roman" w:eastAsia="Times New Roman" w:hAnsi="Times New Roman" w:cs="Times New Roman"/>
          <w:bCs/>
          <w:vertAlign w:val="superscript"/>
        </w:rPr>
        <w:t>1</w:t>
      </w:r>
      <w:r w:rsidR="00E075C2" w:rsidRPr="00E075C2">
        <w:rPr>
          <w:rFonts w:ascii="Times New Roman" w:eastAsia="Times New Roman" w:hAnsi="Times New Roman" w:cs="Times New Roman"/>
          <w:bCs/>
          <w:vertAlign w:val="superscript"/>
        </w:rPr>
        <w:t>a*</w:t>
      </w:r>
      <w:r w:rsidRPr="00E075C2">
        <w:rPr>
          <w:rFonts w:ascii="Times New Roman" w:eastAsia="Times New Roman" w:hAnsi="Times New Roman" w:cs="Times New Roman"/>
          <w:bCs/>
        </w:rPr>
        <w:t>, Dhenia Rahmawati</w:t>
      </w:r>
      <w:r w:rsidRPr="00E075C2">
        <w:rPr>
          <w:rFonts w:ascii="Times New Roman" w:eastAsia="Times New Roman" w:hAnsi="Times New Roman" w:cs="Times New Roman"/>
          <w:bCs/>
          <w:vertAlign w:val="superscript"/>
        </w:rPr>
        <w:t>2</w:t>
      </w:r>
      <w:r w:rsidR="00E075C2" w:rsidRPr="00E075C2">
        <w:rPr>
          <w:rFonts w:ascii="Times New Roman" w:eastAsia="Times New Roman" w:hAnsi="Times New Roman" w:cs="Times New Roman"/>
          <w:bCs/>
          <w:vertAlign w:val="superscript"/>
        </w:rPr>
        <w:t>b</w:t>
      </w:r>
    </w:p>
    <w:p w14:paraId="00000005" w14:textId="020B49DE" w:rsidR="00596A2A" w:rsidRPr="00E075C2" w:rsidRDefault="00BB0434" w:rsidP="00FD59EE">
      <w:pPr>
        <w:pBdr>
          <w:bottom w:val="single" w:sz="4" w:space="1" w:color="auto"/>
        </w:pBdr>
        <w:spacing w:after="0" w:line="36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a,b</w:t>
      </w:r>
      <w:r w:rsidRPr="00E075C2">
        <w:rPr>
          <w:rFonts w:ascii="Times New Roman" w:eastAsia="Times New Roman" w:hAnsi="Times New Roman" w:cs="Times New Roman"/>
          <w:sz w:val="18"/>
          <w:szCs w:val="18"/>
        </w:rPr>
        <w:t>Institut Agama Islam Negeri Pontianak</w:t>
      </w:r>
    </w:p>
    <w:p w14:paraId="00000006" w14:textId="77777777" w:rsidR="00596A2A" w:rsidRDefault="00596A2A" w:rsidP="00FD59EE">
      <w:pPr>
        <w:spacing w:after="0" w:line="360" w:lineRule="auto"/>
        <w:jc w:val="center"/>
        <w:rPr>
          <w:rFonts w:ascii="Times New Roman" w:eastAsia="Times New Roman" w:hAnsi="Times New Roman" w:cs="Times New Roman"/>
          <w:sz w:val="20"/>
          <w:szCs w:val="20"/>
        </w:rPr>
      </w:pPr>
    </w:p>
    <w:p w14:paraId="00000007" w14:textId="77777777" w:rsidR="00596A2A" w:rsidRPr="0001136B" w:rsidRDefault="004F181F" w:rsidP="00B61922">
      <w:pPr>
        <w:pBdr>
          <w:bottom w:val="single" w:sz="4" w:space="1" w:color="auto"/>
        </w:pBdr>
        <w:spacing w:after="0" w:line="360" w:lineRule="auto"/>
        <w:rPr>
          <w:rFonts w:ascii="Times New Roman" w:eastAsia="Times New Roman" w:hAnsi="Times New Roman" w:cs="Times New Roman"/>
          <w:b/>
          <w:sz w:val="20"/>
          <w:szCs w:val="20"/>
        </w:rPr>
      </w:pPr>
      <w:r w:rsidRPr="0001136B">
        <w:rPr>
          <w:rFonts w:ascii="Times New Roman" w:eastAsia="Times New Roman" w:hAnsi="Times New Roman" w:cs="Times New Roman"/>
          <w:b/>
          <w:sz w:val="20"/>
          <w:szCs w:val="20"/>
        </w:rPr>
        <w:t>Abstract</w:t>
      </w:r>
    </w:p>
    <w:p w14:paraId="6671A95D" w14:textId="1503FDCE" w:rsidR="0001136B" w:rsidRPr="0001136B" w:rsidRDefault="0001136B" w:rsidP="00FD59EE">
      <w:pPr>
        <w:pBdr>
          <w:bottom w:val="single" w:sz="4" w:space="1" w:color="auto"/>
        </w:pBdr>
        <w:spacing w:after="0" w:line="360" w:lineRule="auto"/>
        <w:jc w:val="both"/>
        <w:rPr>
          <w:rFonts w:ascii="Times New Roman" w:eastAsia="Times New Roman" w:hAnsi="Times New Roman" w:cs="Times New Roman"/>
          <w:bCs/>
          <w:sz w:val="20"/>
          <w:szCs w:val="20"/>
        </w:rPr>
      </w:pPr>
      <w:bookmarkStart w:id="0" w:name="_Hlk187416654"/>
      <w:r w:rsidRPr="0001136B">
        <w:rPr>
          <w:rFonts w:ascii="Times New Roman" w:eastAsia="Times New Roman" w:hAnsi="Times New Roman" w:cs="Times New Roman"/>
          <w:bCs/>
          <w:sz w:val="20"/>
          <w:szCs w:val="20"/>
          <w:lang w:val="en"/>
        </w:rPr>
        <w:t>Indonesia is the country with the second largest Muslim population in the world. Islamic monetary policy in Indonesia plays an important role in economic stability by implementing sharia principles, such as the prohibition of usury and focusing on fair distribution of wealth. The transmission mechanism of monetary policy in Indonesia involves several channels, including interest rates, credit, asset prices, and exchange rates. This study uses a qualitative descriptive method with a type of research in the form of library research. From the discussion and description above, the author can conclude that Islamic monetary policy in Indonesia from 2014-2024 continues to develop, which is marked by the issuance of new instruments. Based on the analysis of economic growth in Indonesia in 2014-2024, where there have been many sharia monetary instruments that have emerged, but seen from its economic growth which is still fluctuating and unstable from year to year, this proves that sharia monetary instruments are still not optimal in economic growth in Indonesia. Sharia monetary instruments only contribute a little compared to conventional ones.</w:t>
      </w:r>
    </w:p>
    <w:bookmarkEnd w:id="0"/>
    <w:p w14:paraId="2818D1AA" w14:textId="6D2E46DC" w:rsidR="003350E4" w:rsidRPr="00200CF0" w:rsidRDefault="004F181F" w:rsidP="00FD59EE">
      <w:pPr>
        <w:pBdr>
          <w:bottom w:val="single" w:sz="4" w:space="1" w:color="auto"/>
        </w:pBdr>
        <w:spacing w:after="0" w:line="360" w:lineRule="auto"/>
        <w:jc w:val="both"/>
        <w:rPr>
          <w:rFonts w:ascii="Times New Roman" w:eastAsia="Times New Roman" w:hAnsi="Times New Roman" w:cs="Times New Roman"/>
          <w:b/>
          <w:sz w:val="18"/>
          <w:szCs w:val="18"/>
        </w:rPr>
      </w:pPr>
      <w:r w:rsidRPr="00200CF0">
        <w:rPr>
          <w:rFonts w:ascii="Times New Roman" w:eastAsia="Times New Roman" w:hAnsi="Times New Roman" w:cs="Times New Roman"/>
          <w:b/>
          <w:sz w:val="18"/>
          <w:szCs w:val="18"/>
        </w:rPr>
        <w:t>Keywords</w:t>
      </w:r>
      <w:r w:rsidR="003350E4" w:rsidRPr="00200CF0">
        <w:rPr>
          <w:rFonts w:ascii="Times New Roman" w:eastAsia="Times New Roman" w:hAnsi="Times New Roman" w:cs="Times New Roman"/>
          <w:b/>
          <w:sz w:val="18"/>
          <w:szCs w:val="18"/>
        </w:rPr>
        <w:t xml:space="preserve">: </w:t>
      </w:r>
      <w:r w:rsidR="003350E4" w:rsidRPr="00200CF0">
        <w:rPr>
          <w:rFonts w:ascii="Times New Roman" w:eastAsia="Times New Roman" w:hAnsi="Times New Roman" w:cs="Times New Roman"/>
          <w:b/>
          <w:sz w:val="18"/>
          <w:szCs w:val="18"/>
          <w:lang w:val="en"/>
        </w:rPr>
        <w:t xml:space="preserve">Islamic monetary policy, Indonesian economy, </w:t>
      </w:r>
      <w:r w:rsidR="00B61922">
        <w:rPr>
          <w:rFonts w:ascii="Times New Roman" w:eastAsia="Times New Roman" w:hAnsi="Times New Roman" w:cs="Times New Roman"/>
          <w:b/>
          <w:sz w:val="18"/>
          <w:szCs w:val="18"/>
          <w:lang w:val="en"/>
        </w:rPr>
        <w:t>I</w:t>
      </w:r>
      <w:r w:rsidR="003350E4" w:rsidRPr="00200CF0">
        <w:rPr>
          <w:rFonts w:ascii="Times New Roman" w:eastAsia="Times New Roman" w:hAnsi="Times New Roman" w:cs="Times New Roman"/>
          <w:b/>
          <w:sz w:val="18"/>
          <w:szCs w:val="18"/>
          <w:lang w:val="en"/>
        </w:rPr>
        <w:t>mpact</w:t>
      </w:r>
    </w:p>
    <w:p w14:paraId="6DB9A0AB" w14:textId="77777777" w:rsidR="006B5B0C" w:rsidRPr="006B5B0C" w:rsidRDefault="006B5B0C" w:rsidP="00FD59EE">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sectPr w:rsidR="006B5B0C" w:rsidRPr="006B5B0C" w:rsidSect="005F6076">
          <w:headerReference w:type="default" r:id="rId8"/>
          <w:footerReference w:type="default" r:id="rId9"/>
          <w:pgSz w:w="11906" w:h="16838"/>
          <w:pgMar w:top="1134" w:right="851" w:bottom="1281" w:left="851" w:header="709" w:footer="709" w:gutter="0"/>
          <w:pgNumType w:start="40"/>
          <w:cols w:space="720"/>
        </w:sectPr>
      </w:pPr>
    </w:p>
    <w:p w14:paraId="45BAC816" w14:textId="77777777" w:rsidR="008E55D5" w:rsidRDefault="00200CF0" w:rsidP="00712E6F">
      <w:pPr>
        <w:pStyle w:val="ListParagraph"/>
        <w:numPr>
          <w:ilvl w:val="0"/>
          <w:numId w:val="14"/>
        </w:numPr>
        <w:pBdr>
          <w:top w:val="nil"/>
          <w:left w:val="nil"/>
          <w:bottom w:val="nil"/>
          <w:right w:val="nil"/>
          <w:between w:val="nil"/>
        </w:pBdr>
        <w:spacing w:after="0" w:line="240" w:lineRule="auto"/>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Pendahuluan </w:t>
      </w:r>
    </w:p>
    <w:p w14:paraId="3861E437" w14:textId="77777777" w:rsidR="00AA4BAA" w:rsidRPr="00296119"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Negara Indonesia merupakan negara dengan mayoritas penduduk muslim terbesar kedua di dunia, menurut data kementerian dalam negeri saat ini terdapat 245,97 juta masyarakat Indonesia memeluk agama Islam</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{"citationItems":[{"id":"ITEM-1","itemData":{"author":[{"dropping-particle":"","family":"Permana","given":"Raden Muh Rais","non-dropping-particle":"","parse-names":false,"suffix":""}],"id":"ITEM-1","issued":{"date-parts":[["2024"]]},"title":"Data Jumlah Penduduk Indonesia Menurut Agama pada Semester I/2024","type":"article-magazine"},"uris":["http://www.mendeley.com/documents/?uuid=9e1546ec-7f16-43be-87e3-28f45a94c496"]}],"mendeley":{"formattedCitation":"(Permana, 2024)","plainTextFormattedCitation":"(Permana, 2024)","previouslyFormattedCitation":"(Permana, 2024)"},"properties":{"noteIndex":0},"schema":"https://github.com/citation-style-language/schema/raw/master/csl-citation.json"}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(Permana, 2024)</w:t>
      </w:r>
      <w:r w:rsidR="003E2F49" w:rsidRPr="00296119">
        <w:rPr>
          <w:rFonts w:ascii="Times New Roman" w:eastAsia="Times New Roman" w:hAnsi="Times New Roman" w:cs="Times New Roman"/>
          <w:color w:val="000000"/>
          <w:sz w:val="20"/>
          <w:szCs w:val="20"/>
        </w:rPr>
        <w:fldChar w:fldCharType="end"/>
      </w:r>
      <w:r w:rsidRPr="00296119">
        <w:rPr>
          <w:rFonts w:ascii="Times New Roman" w:eastAsia="Times New Roman" w:hAnsi="Times New Roman" w:cs="Times New Roman"/>
          <w:color w:val="000000"/>
          <w:sz w:val="20"/>
          <w:szCs w:val="20"/>
        </w:rPr>
        <w:t>. Karena hal itu Indonesia memiliki potensi besar mengadopsi prinsip-prinsip ekonomi islam dalam perekonomiannya. Kebijakan moneter islam di indonesia berperan penting dalam stabilitas perekonomian dengan menerapkan prinsip prinsip syariah, seperti larangan riba dan fokus pada distribusi kekayaan yang adil.</w:t>
      </w:r>
    </w:p>
    <w:p w14:paraId="45F79E74" w14:textId="7F6A9EFA" w:rsidR="008E55D5" w:rsidRPr="00296119"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 Kebijakan moneter merupakan salah satu peran negara dalam mengatur dan mengambil tindakan terkait keuangan negara. Secara umum, kebijakan moneter juga dikenal sebagai instrumen pengelolaan uang, yang melibatkan pengaturan permintaan dan penawaran mata uang untuk mencapai pertumbuhan ekonomi. Secara spesifik, kebijakan moneter merupakan langkah besar yang diambil pemerintah melalui bank sentral untuk mengendalikan penciptaan uang.</w:t>
      </w:r>
    </w:p>
    <w:p w14:paraId="101FBE64" w14:textId="77777777" w:rsidR="00AA4BAA" w:rsidRPr="00296119"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Dalam konteks Islam, tujuan utama kebijakan moneter adalah untuk menjaga stabilitas mata uang guna mencapai pertumbuhan ekonomi yang merata. Transmisi kebijakan moneter mencakup interaksi antara bank sentral sebagai otoritas moneter, perbankan, lembaga keuangan lainnya, dan pelaku ekonomi di sektor riil, yang terjadi melalui dua tahapan proses perputaran uang</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{"citationItems":[{"id":"ITEM-1","itemData":{"DOI":"10.30984/kunuz.v3i1.601","ISSN":"2807-680X","abstract":"This study identifies monetary policy instruments that can be adopted or adapted to Islamic values to achieve the goal of controlling the circulation of money. Monetary policy has a central role in managing a country's economy, and the adoption of Islamic values in monetary policy instruments is increasingly gaining attention in the context of Islamic economics. This research uses a library approach by analyzing information sourced from articles, books, journals and various other documentation. The findings of this study explain that the adoption of Islamic values in monetary policy instruments can provide significant benefits in achieving sustainable economic goals and in accordance with Sharia principles. However, implementation challenges are also a concern, including technical aspects and a deep understanding of the principles of Islamic economics. Therefore, we propose practical guidance for monetary authorities in implementing monetary policy instruments inspired by Islamic values. Thus, contribution in formulating alternative monetary policies that integrate Islamic values with modern practices, as well as encourage the development of a more inclusive and sustainable economic system.","author":[{"dropping-particle":"","family":"Alwaris","given":"Sri Ayu Andari Putri","non-dropping-particle":"","parse-names":false,"suffix":""},{"dropping-particle":"","family":"Hasan","given":"Nugraha","non-dropping-particle":"","parse-names":false,"suffix":""}],"container-title":"Kunuz: Journal of Islamic Banking and Finance","id":"ITEM-1","issue":"1","issued":{"date-parts":[["2023"]]},"page":"65-77","title":"Adopsi Nilai-Nilai Islam pada Instrumen Kebijakan Moneter dalam Mengontrol Peredaran Uang","type":"article-journal","volume":"3"},"uris":["http://www.mendeley.com/documents/?uuid=accaf59e-1347-47c4-91ce-812a7024ce15"]}],"mendeley":{"formattedCitation":"(Alwaris &amp; Hasan, 2023)","plainTextFormattedCitation":"(Alwaris &amp; Hasan, 2023)","previouslyFormattedCitation":"(Alwaris &amp; Hasan, 2023)"},"properties":{"noteIndex":0},"schema":"https://github.com/citation-style-language/schema/raw/master/csl-citation.json"}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(Alwaris &amp; Hasan, 2023)</w:t>
      </w:r>
      <w:r w:rsidR="003E2F49" w:rsidRPr="00296119">
        <w:rPr>
          <w:rFonts w:ascii="Times New Roman" w:eastAsia="Times New Roman" w:hAnsi="Times New Roman" w:cs="Times New Roman"/>
          <w:color w:val="000000"/>
          <w:sz w:val="20"/>
          <w:szCs w:val="20"/>
        </w:rPr>
        <w:fldChar w:fldCharType="end"/>
      </w:r>
      <w:r w:rsidR="003E2F49" w:rsidRPr="00296119">
        <w:rPr>
          <w:rFonts w:ascii="Times New Roman" w:eastAsia="Times New Roman" w:hAnsi="Times New Roman" w:cs="Times New Roman"/>
          <w:color w:val="000000"/>
          <w:sz w:val="20"/>
          <w:szCs w:val="20"/>
        </w:rPr>
        <w:t>.</w:t>
      </w:r>
    </w:p>
    <w:p w14:paraId="5758E06B" w14:textId="77777777" w:rsidR="00AA4BAA" w:rsidRPr="00296119"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Mekanisme transmisi kebijakan moneter di Indonesia melibatkan beberapa jalur, termasuk suku bunga, kredit, harga aset, dan nilai tukar. Indonesia menjalankan mekanisme ini dengan menerapkan sistem keuangan ganda, yaitu sistem konvensional dan Islam, seiring dengan prinsip Islam sebagai panduan bagi umat Muslim dalam beraktivitas ekonomi</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{"citationItems":[{"id":"ITEM-1","itemData":{"abstract":"This study aims to identify the monetary transmission process from Islamic financing of Islamic banks mechanisms in Indonesia and prove whether the Islamic financing mechanism will create a balance between the monetary and the real sector, causing a reduction in the rate of inflation. The variables of this study were the rate of inflation, PUAS, SBIS and Islamic financing of Islamic banks using time series data. Data were analyzed using the VAR. The results showed that in the short term total PUAS, total SBIS and total Islamic financingof Islamic bank in a stable relationship to therate of inflation.","author":[{"dropping-particle":"","family":"Sugianto","given":"","non-dropping-particle":"","parse-names":false,"suffix":""},{"dropping-particle":"","family":"Harmain","given":"Hendra","non-dropping-particle":"","parse-names":false,"suffix":""},{"dropping-particle":"","family":"Harahap","given":"Nurlela","non-dropping-particle":"","parse-names":false,"suffix":""}],"container-title":"Fakultas Ekonomi dan Bisnis Islam UIN SU","id":"ITEM-1","issued":{"date-parts":[["2018"]]},"page":"56","title":"Mekanisme Transmisi Kebijakan Moneter di Indonesia Melalui Sistem Moneter Syariah","type":"article-journal"},"uris":["http://www.mendeley.com/documents/?uuid=5fc22a55-c8bb-4016-8a0b-12ac05405618"]}],"mendeley":{"formattedCitation":"(Sugianto et al., 2018)","plainTextFormattedCitation":"(Sugianto et al., 2018)","previouslyFormattedCitation":"(Sugianto et al., 2018)"},"properties":{"noteIndex":0},"schema":"https://github.com/citation-style-language/schema/raw/master/csl-citation.json"}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(Sugianto et al., 2018)</w:t>
      </w:r>
      <w:r w:rsidR="003E2F49" w:rsidRPr="00296119">
        <w:rPr>
          <w:rFonts w:ascii="Times New Roman" w:eastAsia="Times New Roman" w:hAnsi="Times New Roman" w:cs="Times New Roman"/>
          <w:color w:val="000000"/>
          <w:sz w:val="20"/>
          <w:szCs w:val="20"/>
        </w:rPr>
        <w:fldChar w:fldCharType="end"/>
      </w:r>
      <w:r w:rsidR="003E2F49" w:rsidRPr="00296119">
        <w:rPr>
          <w:rFonts w:ascii="Times New Roman" w:eastAsia="Times New Roman" w:hAnsi="Times New Roman" w:cs="Times New Roman"/>
          <w:color w:val="000000"/>
          <w:sz w:val="20"/>
          <w:szCs w:val="20"/>
        </w:rPr>
        <w:t>.</w:t>
      </w:r>
    </w:p>
    <w:p w14:paraId="00000011" w14:textId="6BF5FF87" w:rsidR="00596A2A" w:rsidRPr="00296119"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b/>
          <w:color w:val="000000"/>
          <w:sz w:val="20"/>
          <w:szCs w:val="20"/>
        </w:rPr>
      </w:pPr>
      <w:r w:rsidRPr="00296119">
        <w:rPr>
          <w:rFonts w:ascii="Times New Roman" w:eastAsia="Times New Roman" w:hAnsi="Times New Roman" w:cs="Times New Roman"/>
          <w:sz w:val="20"/>
          <w:szCs w:val="20"/>
        </w:rPr>
        <w:t>Kebijakan moneter suatu bank sentral atau otoritas moneter dimaksudkan untuk mempengaruhi kegiatan ekonomi riil dan harga melalui mekanisme transmisi yang terjadi. Untuk itu, otoritas moneter harus memiliki pemahaman yang jelas tentang mekanisme transmisi di negaranya. Mekanisme transmisi kebijakan moneter dapat bekerja melalui berbagai saluran, seperti suku bunga, agregat moneter, kredit, nilai tukar, harga aset, dan ekspektasi (Warjiyo dan Agung, 2002). Sehingga, pemahaman tentang transmisi kebijakan moneter menjadi kunci agar dapat mengarahkan kebijakan moneter untuk mempengaruhi arah perkembangan ekonomi riil dan harga di masa yang akan datang.</w:t>
      </w:r>
    </w:p>
    <w:p w14:paraId="7A1CE0B5" w14:textId="599D4F03" w:rsidR="00AA4BA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sz w:val="20"/>
          <w:szCs w:val="20"/>
        </w:rPr>
      </w:pPr>
      <w:r w:rsidRPr="00B61922">
        <w:rPr>
          <w:rFonts w:ascii="Times New Roman" w:eastAsia="Times New Roman" w:hAnsi="Times New Roman" w:cs="Times New Roman"/>
          <w:sz w:val="20"/>
          <w:szCs w:val="20"/>
        </w:rPr>
        <w:t>Sementara itu, sejak dikeluarkannya UU Perbankan yang baru tahun 1998, Indonesia secara de jure telah menerapkan sistem perbankan ganda, ketika bank konvensional dan bank syariah dapat beroperasi berdampingan di seluruh wilayah Indonesia. Sedangkan, sejak dikeluarkannya UU Bank Indonesia yang baru tahun 1999, Bank Indonesia telah diberi amanah sebagai otoritas moneter ganda yang dapat menjalankan kebijakan moneter konvensional maupun syariah. Sejak saat itu perbankan dan keuangan syariah berkembang pesat.</w:t>
      </w:r>
    </w:p>
    <w:p w14:paraId="00000013" w14:textId="10AA8E2C"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sz w:val="20"/>
          <w:szCs w:val="20"/>
        </w:rPr>
      </w:pPr>
      <w:r w:rsidRPr="00B61922">
        <w:rPr>
          <w:rFonts w:ascii="Times New Roman" w:eastAsia="Times New Roman" w:hAnsi="Times New Roman" w:cs="Times New Roman"/>
          <w:sz w:val="20"/>
          <w:szCs w:val="20"/>
        </w:rPr>
        <w:t>Pada tahun 2000, ada dua bank syariah dan tiga unit usaha syariah (UUS) dengan 65 kantor dan hanya menguasai 0,17% dari total asset. Sementara pada akhir 2010, sudah berdiri 11 bank syariah dan 23 UUD dengan total 1477 kantor dan 1277 loket office channeling di bank konvensional. Pangsa pasar bank syariah telah mencapai 3,24% dari total aset atau 97,52 triliun rupiah dengan 48% pertumbuhan per tahun.</w:t>
      </w:r>
    </w:p>
    <w:p w14:paraId="00000014" w14:textId="7777777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sz w:val="20"/>
          <w:szCs w:val="20"/>
        </w:rPr>
      </w:pPr>
      <w:r w:rsidRPr="00B61922">
        <w:rPr>
          <w:rFonts w:ascii="Times New Roman" w:eastAsia="Times New Roman" w:hAnsi="Times New Roman" w:cs="Times New Roman"/>
          <w:sz w:val="20"/>
          <w:szCs w:val="20"/>
        </w:rPr>
        <w:lastRenderedPageBreak/>
        <w:t xml:space="preserve">Pertumbuhan bank syariah di Indonesia dapat dilihat dari jumlah simpanan dan perluasan pembiayaan. Pada tahun 2000, jumlah simpanan mencapai 1,03 triliun rupiah dan pembiayaan mencapai 1,27 triliun rupiah, dengan FDR (financing to deposit ratio) 123%. Pada akhir tahun 2010, jumlah simpanan tumbuh 45,47% per tahun dan mencapai 76,04 triliun rupiah, sedangkan pembiayaan tumbuh 45,42% per tahun dan mencapai 68,18 triliun rupiah, dengan FDR 89,67%. Tingkat FDR ini merupakan pencapaian yang tinggi, jika dibandingkan dengan bank syariah di negara-negara lain, dan juga jauh melampaui LDR (loan to deposit ratio) bank konvensional di Indonesia, yang hanya mencapai 75,21%. </w:t>
      </w:r>
    </w:p>
    <w:p w14:paraId="00000015" w14:textId="7777777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sz w:val="20"/>
          <w:szCs w:val="20"/>
        </w:rPr>
      </w:pPr>
      <w:r w:rsidRPr="00B61922">
        <w:rPr>
          <w:rFonts w:ascii="Times New Roman" w:eastAsia="Times New Roman" w:hAnsi="Times New Roman" w:cs="Times New Roman"/>
          <w:sz w:val="20"/>
          <w:szCs w:val="20"/>
        </w:rPr>
        <w:t>Dari sisi moneter, Bank Indonesia memperkenalkan instrumen moneter syariah pertama pada tahun 2000, yaitu Sertifikat Wadiah Bank Indonesia (SWBI), yang masih bersifat pasif. Dengan semakin tumbuh pesatnya perbankan syariah, pada tahun 2008 Bank Indonesia mengganti SWBI dengan instrumen moneter syariah yang lebih baik, yaitu Sertifikat Bank Indonesia Syariah (SBIS) yang berdasarkan pada akad Ju’alah.</w:t>
      </w:r>
    </w:p>
    <w:p w14:paraId="00000019" w14:textId="7777777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sz w:val="20"/>
          <w:szCs w:val="20"/>
        </w:rPr>
      </w:pPr>
      <w:r w:rsidRPr="00B61922">
        <w:rPr>
          <w:rFonts w:ascii="Times New Roman" w:eastAsia="Times New Roman" w:hAnsi="Times New Roman" w:cs="Times New Roman"/>
          <w:sz w:val="20"/>
          <w:szCs w:val="20"/>
        </w:rPr>
        <w:t xml:space="preserve">Jalur transmisi melalui saluran suku bunga menekankan pentingnya aspek harga di pasar keuangan terhadap berbagai aktivitas ekonomi di sektor riil. Dengan semakin berkembangnya perbankan syariah, transmisi kebijakan moneter tidak hanya mempengaruhi perbankan konvensional saja, namun juga mempengaruhi perbankan syariah, karena mekanisme transmisi dapat juga melewati jalur syariah. </w:t>
      </w:r>
    </w:p>
    <w:p w14:paraId="0000001A" w14:textId="7777777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sz w:val="20"/>
          <w:szCs w:val="20"/>
        </w:rPr>
      </w:pPr>
      <w:r w:rsidRPr="00B61922">
        <w:rPr>
          <w:rFonts w:ascii="Times New Roman" w:eastAsia="Times New Roman" w:hAnsi="Times New Roman" w:cs="Times New Roman"/>
          <w:sz w:val="20"/>
          <w:szCs w:val="20"/>
        </w:rPr>
        <w:t>Instrumen kebijakan moneter ganda juga tidak terbatas hanya menggunakan suku bunga saja, tetapi dapat pula menggunakan bagi hasil atau margin atau fee. Dengan demikian, dalam sistem moneter ganda, interest rate pass-through lebih tepat disebut policy rate pass-through, dimana policy rate untuk konvensional menggunakan suku bunga, sedangkan policy rate untuk syariah dapat menggunakan bagi hasil, margin, atau fee.</w:t>
      </w:r>
    </w:p>
    <w:p w14:paraId="0000001B" w14:textId="7E3A0FD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B61922">
        <w:rPr>
          <w:rFonts w:ascii="Times New Roman" w:eastAsia="Times New Roman" w:hAnsi="Times New Roman" w:cs="Times New Roman"/>
          <w:color w:val="000000"/>
          <w:sz w:val="20"/>
          <w:szCs w:val="20"/>
        </w:rPr>
        <w:t>Di Indonesia, perkembangan sistem keuangan syariah terus berkembang pesat. Hal ini tercermin dari pertumbuhan instrumen moneter syariah, peningkatan kinerja, dan tingkat kepercayaan masyarakat terhadap perbankan syariah. Pada Juli 2021, jumlah Dana Pihak Ketiga (DPK) yang berhasil dikumpulkan oleh perbankan syariah mencapai Rp 504 triliun, dengan pembiayaan yang disalurkan mencapai Rp 405 triliun. Meskipun di tengah pandemi, aset keuangan syariah di Indonesia pada Desember 2020 mencapai Rp 1.802,86 triliun atau USD 127,82 miliar, dengan 65,73% diantaranya dikuasai oleh 12 bank umum syariah. Jumlah rekening bank syariah dan rekening pembiayaan juga mengalami peningkatan yang signifikan</w:t>
      </w:r>
      <w:r w:rsidR="003E2F49" w:rsidRPr="00B61922">
        <w:rPr>
          <w:rFonts w:ascii="Times New Roman" w:eastAsia="Times New Roman" w:hAnsi="Times New Roman" w:cs="Times New Roman"/>
          <w:color w:val="000000"/>
          <w:sz w:val="20"/>
          <w:szCs w:val="20"/>
        </w:rPr>
        <w:fldChar w:fldCharType="begin" w:fldLock="1"/>
      </w:r>
      <w:r w:rsidR="003E2F49" w:rsidRPr="00B61922">
        <w:rPr>
          <w:rFonts w:ascii="Times New Roman" w:eastAsia="Times New Roman" w:hAnsi="Times New Roman" w:cs="Times New Roman"/>
          <w:color w:val="000000"/>
          <w:sz w:val="20"/>
          <w:szCs w:val="20"/>
        </w:rPr>
        <w:instrText>ADDIN CSL_CITATION {"citationItems":[{"id":"ITEM-1","itemData":{"abstract":"Money in Islamic economics is only used to transact and keep watch. Money is not a commodity that has a price, therefore money cannot be traded. Money is a publics goods, idle assets will be taxed so that the amount will decrease, therefore money should be used in the productive sector, overall and selecting credit ceiling, moral suasion and change in monetary base, equity based type of securities can still be used to control money and credit, as long as in accordance with the principles of sharia transactions, among others, are Wadiah, Musyarakah, Mudharabah, Ar-Rahn, and Al-Ijarah. Keyword: Money, Monetary Policy, Islamic Economic Law Abstrak:","author":[{"dropping-particle":"","family":"Annisa","given":"","non-dropping-particle":"","parse-names":false,"suffix":""}],"container-title":"Mizan: Journal of Islamic Law","id":"ITEM-1","issue":"2","issued":{"date-parts":[["2017"]]},"page":"109-126","title":"Konsep uang dan kebijakan moneter dalam konsep islam","type":"article-journal","volume":"1"},"uris":["http://www.mendeley.com/documents/?uuid=abb1ed7c-e11e-45be-86b4-05b080feb96a"]}],"mendeley":{"formattedCitation":"(Annisa, 2017)","plainTextFormattedCitation":"(Annisa, 2017)","previouslyFormattedCitation":"(Annisa, 2017)"},"properties":{"noteIndex":0},"schema":"https://github.com/citation-style-language/schema/raw/master/csl-citation.json"}</w:instrText>
      </w:r>
      <w:r w:rsidR="003E2F49" w:rsidRPr="00B61922">
        <w:rPr>
          <w:rFonts w:ascii="Times New Roman" w:eastAsia="Times New Roman" w:hAnsi="Times New Roman" w:cs="Times New Roman"/>
          <w:color w:val="000000"/>
          <w:sz w:val="20"/>
          <w:szCs w:val="20"/>
        </w:rPr>
        <w:fldChar w:fldCharType="separate"/>
      </w:r>
      <w:r w:rsidR="003E2F49" w:rsidRPr="00B61922">
        <w:rPr>
          <w:rFonts w:ascii="Times New Roman" w:eastAsia="Times New Roman" w:hAnsi="Times New Roman" w:cs="Times New Roman"/>
          <w:noProof/>
          <w:color w:val="000000"/>
          <w:sz w:val="20"/>
          <w:szCs w:val="20"/>
        </w:rPr>
        <w:t>(Annisa, 2017)</w:t>
      </w:r>
      <w:r w:rsidR="003E2F49" w:rsidRPr="00B61922">
        <w:rPr>
          <w:rFonts w:ascii="Times New Roman" w:eastAsia="Times New Roman" w:hAnsi="Times New Roman" w:cs="Times New Roman"/>
          <w:color w:val="000000"/>
          <w:sz w:val="20"/>
          <w:szCs w:val="20"/>
        </w:rPr>
        <w:fldChar w:fldCharType="end"/>
      </w:r>
    </w:p>
    <w:p w14:paraId="0000001C" w14:textId="7777777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B61922">
        <w:rPr>
          <w:rFonts w:ascii="Times New Roman" w:eastAsia="Times New Roman" w:hAnsi="Times New Roman" w:cs="Times New Roman"/>
          <w:color w:val="000000"/>
          <w:sz w:val="20"/>
          <w:szCs w:val="20"/>
        </w:rPr>
        <w:t xml:space="preserve">Beberapa Potensi dalam penerapan kebijakan moneter islam yaitu, Kesesuaian dengan nilai nilai agama. Kebijakan Moneter Islam mendasarkan pendekatannya pada prinsip-prinsip ekonomi Islam yang terkandung dalam ajaran Al-Quran dan Hadis. Salah satu poin sentral dalam kebijakan ini adalah larangan terhadap praktik riba atau bunga. Dalam konteks kebijakan moneter, hal ini mengarah pada penghindaran instrumen keuangan yang melibatkan pembayaran atau penerimaan bunga, dengan dorongan untuk mengembangkan alternatif seperti prinsip bagi hasil atau sewa. </w:t>
      </w:r>
    </w:p>
    <w:p w14:paraId="0000001D" w14:textId="77777777" w:rsidR="00596A2A" w:rsidRPr="00B61922" w:rsidRDefault="004F181F"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0"/>
          <w:szCs w:val="20"/>
        </w:rPr>
      </w:pPr>
      <w:r w:rsidRPr="00B61922">
        <w:rPr>
          <w:rFonts w:ascii="Times New Roman" w:eastAsia="Times New Roman" w:hAnsi="Times New Roman" w:cs="Times New Roman"/>
          <w:color w:val="000000"/>
          <w:sz w:val="20"/>
          <w:szCs w:val="20"/>
        </w:rPr>
        <w:t>Prinsip lainnya adalah pemeliharaan stabilitas nilai mata uang agar tidak terjadi fluktuasi yang merugikan masyarakat, serta upaya mendorong distribusi keadilan dalam kebijakan moneter dengan memberikan perhatian pada kelompok rentan dan mengurangi kesenjangan sosial.</w:t>
      </w:r>
    </w:p>
    <w:p w14:paraId="00000021" w14:textId="2C413583" w:rsidR="00596A2A" w:rsidRPr="00B61922" w:rsidRDefault="004F181F" w:rsidP="00712E6F">
      <w:pPr>
        <w:pBdr>
          <w:top w:val="nil"/>
          <w:left w:val="nil"/>
          <w:bottom w:val="nil"/>
          <w:right w:val="nil"/>
          <w:between w:val="nil"/>
        </w:pBdr>
        <w:spacing w:after="0" w:line="240" w:lineRule="auto"/>
        <w:ind w:firstLine="349"/>
        <w:jc w:val="both"/>
        <w:rPr>
          <w:rFonts w:ascii="Times New Roman" w:eastAsia="Times New Roman" w:hAnsi="Times New Roman" w:cs="Times New Roman"/>
          <w:color w:val="000000"/>
          <w:sz w:val="20"/>
          <w:szCs w:val="20"/>
        </w:rPr>
      </w:pPr>
      <w:r w:rsidRPr="00B61922">
        <w:rPr>
          <w:rFonts w:ascii="Times New Roman" w:eastAsia="Times New Roman" w:hAnsi="Times New Roman" w:cs="Times New Roman"/>
          <w:color w:val="000000"/>
          <w:sz w:val="20"/>
          <w:szCs w:val="20"/>
        </w:rPr>
        <w:t>Meningkatkan stabilitas ekonomi, kebijakan moneter merupakan usaha untuk mengendalikan keadaan ekonomi makro agar sesuai dengan yang diinginkan melalui pengaturan jumlah uang yang beredar dalam perekonomian. Usaha ini dilakukan untuk mencapai stabilitas harga dan inflasi serta peningkatan output yang seimbang. Hampir semua sektor ekonomi terkait, sehingga sektor moneter lebih cepat berkembang daripada sektor riil. Keselarasan antara sektor moneter akan mempengaruhi sektor perekonomian secara agregat. Peningkatan pembiayaan bank syariah akan mempengaruhi keseimbangan perekonomian yang pada akhirnya akan berdampak pada pertumbuhan ekonomi.</w:t>
      </w:r>
    </w:p>
    <w:p w14:paraId="4A7F6A40" w14:textId="5670C325" w:rsidR="0011096A" w:rsidRPr="00296119" w:rsidRDefault="0011096A" w:rsidP="00712E6F">
      <w:pPr>
        <w:pStyle w:val="ListParagraph"/>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296119">
        <w:rPr>
          <w:rFonts w:ascii="Times New Roman" w:eastAsia="Times New Roman" w:hAnsi="Times New Roman" w:cs="Times New Roman"/>
          <w:b/>
          <w:bCs/>
          <w:color w:val="000000"/>
          <w:sz w:val="24"/>
          <w:szCs w:val="24"/>
        </w:rPr>
        <w:t xml:space="preserve">Kerangka Teori </w:t>
      </w:r>
    </w:p>
    <w:p w14:paraId="68C6C197" w14:textId="77777777" w:rsidR="0011096A" w:rsidRPr="00AC4A82" w:rsidRDefault="004F181F" w:rsidP="00712E6F">
      <w:pPr>
        <w:pStyle w:val="ListParagraph"/>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bCs/>
          <w:i/>
          <w:iCs/>
          <w:color w:val="000000"/>
          <w:sz w:val="24"/>
          <w:szCs w:val="24"/>
        </w:rPr>
      </w:pPr>
      <w:r w:rsidRPr="00AC4A82">
        <w:rPr>
          <w:rFonts w:ascii="Times New Roman" w:eastAsia="Times New Roman" w:hAnsi="Times New Roman" w:cs="Times New Roman"/>
          <w:bCs/>
          <w:i/>
          <w:iCs/>
          <w:color w:val="000000"/>
          <w:sz w:val="24"/>
          <w:szCs w:val="24"/>
        </w:rPr>
        <w:t>Kebijakan Moneter Islam</w:t>
      </w:r>
    </w:p>
    <w:p w14:paraId="00000023" w14:textId="6F8BFF1C"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color w:val="000000"/>
          <w:sz w:val="20"/>
          <w:szCs w:val="20"/>
        </w:rPr>
      </w:pPr>
      <w:r w:rsidRPr="00296119">
        <w:rPr>
          <w:rFonts w:ascii="Times New Roman" w:eastAsia="Times New Roman" w:hAnsi="Times New Roman" w:cs="Times New Roman"/>
          <w:color w:val="000000"/>
          <w:sz w:val="20"/>
          <w:szCs w:val="20"/>
        </w:rPr>
        <w:t xml:space="preserve">Kebijakan moneter yaitu salah satu cara yang digunakanan Negara dalam mengendalikan serta mengarahkan keadaan ekonomi makro yang sesuai atau yang lebih baik dengan cara mengendalikan jumlah uang yang beredar di suatu Negara. Keadaan yang dimaksudnya ialah meningkatkan kesetimbangan serta pemeliharaan stabilitas harga, dengan adanya kebijakan ini pemerintah bisa menambah, mengurangi serta mempertahankan sejumlah uang yang menyebar pada suatu pemerintahan. Kebijakan moneter berfungsi sebagai kunci untuk memperoleh strategi yang baik dari ekonomi makro di sebuah </w:t>
      </w:r>
      <w:r w:rsidR="00723559" w:rsidRPr="00296119">
        <w:rPr>
          <w:rFonts w:ascii="Times New Roman" w:eastAsia="Times New Roman" w:hAnsi="Times New Roman" w:cs="Times New Roman"/>
          <w:color w:val="000000"/>
          <w:sz w:val="20"/>
          <w:szCs w:val="20"/>
        </w:rPr>
        <w:t>n</w:t>
      </w:r>
      <w:r w:rsidRPr="00296119">
        <w:rPr>
          <w:rFonts w:ascii="Times New Roman" w:eastAsia="Times New Roman" w:hAnsi="Times New Roman" w:cs="Times New Roman"/>
          <w:color w:val="000000"/>
          <w:sz w:val="20"/>
          <w:szCs w:val="20"/>
        </w:rPr>
        <w:t>egara untuk menanggulangi terjadinya inflasi.</w:t>
      </w:r>
    </w:p>
    <w:p w14:paraId="00000025" w14:textId="42202F83"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Secara syariah kebijakan moneter syariah wajib bebas dari riba dan bunga. Riba yang masuk dalam bunga bank sangat dilarang dalam Islam. Larangan sekarang meniadakan kepentingan bank dalam ekonomi kapitalis, yang merupakan instrumen utama pengelolaan uang. Pengelolaan uang dalam Islam didasarkan pada prinsip bagi hasil. Banyak uang beredar dalam suatu perusahaan diatur dengan ditambah atau dikurangi banyak uang yang beredar.</w:t>
      </w:r>
      <w:r w:rsidR="00723559" w:rsidRPr="00296119">
        <w:rPr>
          <w:rFonts w:ascii="Times New Roman" w:eastAsia="Times New Roman" w:hAnsi="Times New Roman" w:cs="Times New Roman"/>
          <w:color w:val="000000"/>
          <w:sz w:val="20"/>
          <w:szCs w:val="20"/>
        </w:rPr>
        <w:t xml:space="preserve"> </w:t>
      </w:r>
      <w:r w:rsidRPr="00296119">
        <w:rPr>
          <w:rFonts w:ascii="Times New Roman" w:eastAsia="Times New Roman" w:hAnsi="Times New Roman" w:cs="Times New Roman"/>
          <w:color w:val="000000"/>
          <w:sz w:val="20"/>
          <w:szCs w:val="20"/>
        </w:rPr>
        <w:t>Sistem moneter dalam islam mempunyai ciri khas yang khusus dengan sistem ekonomi konvensional, karena pada manajemen pengelolaannya yang tidak menggunakan istilah bunga sehinngga ini yang membuat perbedaan utama dari ekonomi konvensional</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{"citationItems":[{"id":"ITEM-1","itemData":{"author":[{"dropping-particle":"","family":"Fuad","given":"Ahmad","non-dropping-particle":"","parse-names":false,"suffix":""}],"id":"ITEM-1","issued":{"date-parts":[["2020"]]},"title":"280-Article Text-491-1-10-20200902 (1).pdf","type":"article"},"uris":["http://www.mendeley.com/documents/?uuid=266a4705-c152-4e95-b61b-3b87802385f0"]}],"mendeley":{"formattedCitation":"(Fuad, 2020)","plainTextFormattedCitation":"(Fuad, 2020)","previouslyFormattedCitation":"(Fuad, 2020)"},"properties":{"noteIndex":0},"schema":"https://github.com/citation-style-language/schema/raw/master/csl-citation.json"}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(Fuad, 2020)</w:t>
      </w:r>
      <w:r w:rsidR="003E2F49" w:rsidRPr="00296119">
        <w:rPr>
          <w:rFonts w:ascii="Times New Roman" w:eastAsia="Times New Roman" w:hAnsi="Times New Roman" w:cs="Times New Roman"/>
          <w:color w:val="000000"/>
          <w:sz w:val="20"/>
          <w:szCs w:val="20"/>
        </w:rPr>
        <w:fldChar w:fldCharType="end"/>
      </w:r>
      <w:r w:rsidR="003E2F49" w:rsidRPr="00296119">
        <w:rPr>
          <w:rFonts w:ascii="Times New Roman" w:eastAsia="Times New Roman" w:hAnsi="Times New Roman" w:cs="Times New Roman"/>
          <w:color w:val="000000"/>
          <w:sz w:val="20"/>
          <w:szCs w:val="20"/>
        </w:rPr>
        <w:t>.</w:t>
      </w:r>
    </w:p>
    <w:p w14:paraId="00000026" w14:textId="4EAC7FE4"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Kebijakan moneter dibuat dari respons ekonomi mikro yang didorong oleh pembuat kebijakan moneter tingkat makro. Kebijakan moneter juga harus sesuai dengan syariat agar ekonomi tumbuh berkah Allah</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{"citationItems":[{"id":"ITEM-1","itemData":{"abstract":"Keberhasilan ekonomi suatu negara sangat ditentukan oleh tepatnya penentuan kebijakan moneter. Kebijakan ini tercipta atas respon ekonomi mikro yang kemudian dikelola secara makro oleh pemangku kebijakan. Langkah pengambilan kebijakan ini harus sesuai dengan skenario syariah agar ekonomi yang diharapkan pertumbuhannya tersebut mendapatkan berkah sehingga falah yang menjadi tujuan akhir ekonomi segaligus terwujud seiring kebijakan diambil. Kajian secara kepustakaan akhirnya diambil dalam rangka mencari jawaban atas konsep kebijakan moneter yang hakiki ini. Tujuan akhir dari pembahasan kebijakan ekonomi syariah adalah menjaga dan merawat stabilitas ekonomi negara","author":[{"dropping-particle":"","family":"Ajuna","given":"Luqmanul Hakiem","non-dropping-particle":"","parse-names":false,"suffix":""}],"container-title":"Al-Buhuts","id":"ITEM-1","issue":"1","issued":{"date-parts":[["2017"]]},"page":"104-117","title":"Kebijakan Moneter Syariah","type":"article-journal","volume":"13"},"uris":["http://www.mendeley.com/documents/?uuid=975441f7-e00b-4706-8584-f9485a4b199c"]}],"mendeley":{"formattedCitation":"(Ajuna, 2017)","plainTextFormattedCitation":"(Ajuna, 2017)","previouslyFormattedCitation":"(Ajuna, 2017)"},"properties":{"noteIndex":0},"schema":"https://github.com/citation-style-language/schema/raw/master/csl-citation.json"}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(Ajuna, 2017)</w:t>
      </w:r>
      <w:r w:rsidR="003E2F49" w:rsidRPr="00296119">
        <w:rPr>
          <w:rFonts w:ascii="Times New Roman" w:eastAsia="Times New Roman" w:hAnsi="Times New Roman" w:cs="Times New Roman"/>
          <w:color w:val="000000"/>
          <w:sz w:val="20"/>
          <w:szCs w:val="20"/>
        </w:rPr>
        <w:fldChar w:fldCharType="end"/>
      </w:r>
      <w:r w:rsidR="003E2F49" w:rsidRPr="00296119">
        <w:rPr>
          <w:rFonts w:ascii="Times New Roman" w:eastAsia="Times New Roman" w:hAnsi="Times New Roman" w:cs="Times New Roman"/>
          <w:color w:val="000000"/>
          <w:sz w:val="20"/>
          <w:szCs w:val="20"/>
        </w:rPr>
        <w:t>.</w:t>
      </w:r>
    </w:p>
    <w:p w14:paraId="00000027" w14:textId="7FD7657C"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Moneter dalam ekonomi islam juga tidak hanya menekankan pada equilibrium atau antara permintan dan penawaran uang, akan tetapi juga untuk mengupayakan terjadinya pemerataan dengan prinsip keadilan. Dalam ekonomi Islam, Islam mengambil sikap yang sangat kuat pada reformasi kemanusiaan, pembangunan ekonomi yang seimbang atau pengaturan sistem perbankan, yang menciptakan ekonomi yang sehat dan menstabilkan </w:t>
      </w:r>
      <w:r w:rsidRPr="00296119">
        <w:rPr>
          <w:rFonts w:ascii="Times New Roman" w:eastAsia="Times New Roman" w:hAnsi="Times New Roman" w:cs="Times New Roman"/>
          <w:sz w:val="20"/>
          <w:szCs w:val="20"/>
        </w:rPr>
        <w:t>nilai nilai</w:t>
      </w:r>
      <w:r w:rsidRPr="00296119">
        <w:rPr>
          <w:rFonts w:ascii="Times New Roman" w:eastAsia="Times New Roman" w:hAnsi="Times New Roman" w:cs="Times New Roman"/>
          <w:color w:val="000000"/>
          <w:sz w:val="20"/>
          <w:szCs w:val="20"/>
        </w:rPr>
        <w:t xml:space="preserve"> internal. Namun, untuk mempertahankan sikap rasional dan universal terhadap isu-isu ini, umat islam juga </w:t>
      </w:r>
      <w:r w:rsidRPr="00296119">
        <w:rPr>
          <w:rFonts w:ascii="Times New Roman" w:eastAsia="Times New Roman" w:hAnsi="Times New Roman" w:cs="Times New Roman"/>
          <w:sz w:val="20"/>
          <w:szCs w:val="20"/>
        </w:rPr>
        <w:t>memberlakukan</w:t>
      </w:r>
      <w:r w:rsidRPr="00296119">
        <w:rPr>
          <w:rFonts w:ascii="Times New Roman" w:eastAsia="Times New Roman" w:hAnsi="Times New Roman" w:cs="Times New Roman"/>
          <w:color w:val="000000"/>
          <w:sz w:val="20"/>
          <w:szCs w:val="20"/>
        </w:rPr>
        <w:t xml:space="preserve"> pembatasan konsumsi secara kualitatif, yang mana sesuai dengan </w:t>
      </w:r>
      <w:r w:rsidRPr="00296119">
        <w:rPr>
          <w:rFonts w:ascii="Times New Roman" w:eastAsia="Times New Roman" w:hAnsi="Times New Roman" w:cs="Times New Roman"/>
          <w:sz w:val="20"/>
          <w:szCs w:val="20"/>
        </w:rPr>
        <w:t>fitrah</w:t>
      </w:r>
      <w:r w:rsidRPr="00296119">
        <w:rPr>
          <w:rFonts w:ascii="Times New Roman" w:eastAsia="Times New Roman" w:hAnsi="Times New Roman" w:cs="Times New Roman"/>
          <w:color w:val="000000"/>
          <w:sz w:val="20"/>
          <w:szCs w:val="20"/>
        </w:rPr>
        <w:t xml:space="preserve"> nya umat islam</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chaotic.","author":[{"dropping-particle":"","family":"Dini Abdianti","given":"","non-dropping-particle":"","parse-names":false,"suffix":""},{"dropping-particle":"","family":"Anisa Restu","given":"","non-dropping-particle":"","parse-names":false,"suffix":""},{"dropping-particle":"","family":"Sholahuddin Al Ayyubi","given":"","non-dropping-particle":"","parse-names":false,"suffix":""}],"container-title":"Jurnal Kewirausahaan dan Manajemen Bisnis: Cuan","id":"ITEM-1","issue":"2","issued":{"date-parts":[["2023"]]},"page":"106-120","title":"Konsep Kebijakan Moneter Dalam Perspektif Ekonomi Islam","type":"article-journal","volume":"1"},"uris":["http://www.mendeley.com/documents/?uuid=8542035a-8062-4477-8c8b-c2dc8d874f27"]}],"mendeley":{"formattedCitation":"(Dini Abdianti et al., 2023)","plainTextFormattedCitation":"(Dini Abdianti et al., 2023)","previouslyFormattedCitation":"(Dini Abdianti et al., 2023)"},"properties":{"noteIndex":0},"schema":"https://github.com/citation-style-language/schema/raw/master/csl-citation.json"}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(Dini Abdianti et al., 2023)</w:t>
      </w:r>
      <w:r w:rsidR="003E2F49" w:rsidRPr="00296119">
        <w:rPr>
          <w:rFonts w:ascii="Times New Roman" w:eastAsia="Times New Roman" w:hAnsi="Times New Roman" w:cs="Times New Roman"/>
          <w:color w:val="000000"/>
          <w:sz w:val="20"/>
          <w:szCs w:val="20"/>
        </w:rPr>
        <w:fldChar w:fldCharType="end"/>
      </w:r>
      <w:r w:rsidR="003E2F49" w:rsidRPr="00296119">
        <w:rPr>
          <w:rFonts w:ascii="Times New Roman" w:eastAsia="Times New Roman" w:hAnsi="Times New Roman" w:cs="Times New Roman"/>
          <w:color w:val="000000"/>
          <w:sz w:val="20"/>
          <w:szCs w:val="20"/>
        </w:rPr>
        <w:t>.</w:t>
      </w:r>
    </w:p>
    <w:p w14:paraId="6BA3F489" w14:textId="1C49DE91" w:rsidR="002A3E20" w:rsidRPr="00296119" w:rsidRDefault="002A3E20"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lastRenderedPageBreak/>
        <w:t>Tujuan dari kebijakan moneter dalam Islam tidak berbeda dengan tujuan kebijakan moneter konvensional, yaitu untuk menjaga stabilitas mata uang, penciptaan instrumen keuangan yang terdiversifikasi, likuiditas, transparansi sistem keuangan, dan mekanisme pasar yang efektf sehingga pertumbuhan ekonomi di suatu negara yang diharapkan dapat tercapai. Stabilitas dalam nilai uang ini tidak terlepas dari tujuan ketulusan dan keterbukaan dalam berhubungan dengan manusia.</w:t>
      </w:r>
    </w:p>
    <w:p w14:paraId="2FEA7C99" w14:textId="77777777" w:rsidR="00FD59EE" w:rsidRPr="00296119" w:rsidRDefault="00FE5CE1" w:rsidP="00712E6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Chapra, menyebutkan mekanisme instrumen kebijakan moneter yang berdasarkan syariah sangat berbeda </w:t>
      </w:r>
      <w:r w:rsidRPr="00296119">
        <w:rPr>
          <w:rFonts w:ascii="Times New Roman" w:eastAsia="Times New Roman" w:hAnsi="Times New Roman" w:cs="Times New Roman"/>
          <w:sz w:val="20"/>
          <w:szCs w:val="20"/>
        </w:rPr>
        <w:t>dengan</w:t>
      </w:r>
      <w:r w:rsidRPr="00296119">
        <w:rPr>
          <w:rFonts w:ascii="Times New Roman" w:eastAsia="Times New Roman" w:hAnsi="Times New Roman" w:cs="Times New Roman"/>
          <w:color w:val="000000"/>
          <w:sz w:val="20"/>
          <w:szCs w:val="20"/>
        </w:rPr>
        <w:t xml:space="preserve"> ekonomi lain diantaranya:</w:t>
      </w:r>
    </w:p>
    <w:p w14:paraId="5703ACFF" w14:textId="45A39727" w:rsidR="00FE5CE1" w:rsidRPr="00296119" w:rsidRDefault="00FE5CE1" w:rsidP="005F6076">
      <w:pPr>
        <w:pStyle w:val="ListParagraph"/>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Target pertumbuhan M dan Mo, dimana setiap tahun bank sentral</w:t>
      </w:r>
      <w:r w:rsidR="00FD59EE" w:rsidRPr="00296119">
        <w:rPr>
          <w:rFonts w:ascii="Times New Roman" w:eastAsia="Times New Roman" w:hAnsi="Times New Roman" w:cs="Times New Roman"/>
          <w:color w:val="000000"/>
          <w:sz w:val="20"/>
          <w:szCs w:val="20"/>
        </w:rPr>
        <w:t xml:space="preserve"> </w:t>
      </w:r>
      <w:r w:rsidRPr="00296119">
        <w:rPr>
          <w:rFonts w:ascii="Times New Roman" w:eastAsia="Times New Roman" w:hAnsi="Times New Roman" w:cs="Times New Roman"/>
          <w:color w:val="000000"/>
          <w:sz w:val="20"/>
          <w:szCs w:val="20"/>
        </w:rPr>
        <w:t>menentukan pertumbuhan peredaran uang dengan sasaran ekonomi nasional.</w:t>
      </w:r>
    </w:p>
    <w:p w14:paraId="43108B21" w14:textId="77777777" w:rsidR="00FE5CE1" w:rsidRPr="00296119" w:rsidRDefault="00FE5CE1" w:rsidP="005F607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Saham publik terhadap deposito atas uang giral.</w:t>
      </w:r>
    </w:p>
    <w:p w14:paraId="6CB63851" w14:textId="77777777" w:rsidR="00FE5CE1" w:rsidRPr="00296119" w:rsidRDefault="00FE5CE1" w:rsidP="005F607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Cadangan wajib resmi, dimana bank komersial harus memiliki cadangan wajib di </w:t>
      </w:r>
      <w:r w:rsidRPr="00296119">
        <w:rPr>
          <w:rFonts w:ascii="Times New Roman" w:eastAsia="Times New Roman" w:hAnsi="Times New Roman" w:cs="Times New Roman"/>
          <w:sz w:val="20"/>
          <w:szCs w:val="20"/>
        </w:rPr>
        <w:t>bank sentral</w:t>
      </w:r>
      <w:r w:rsidRPr="00296119">
        <w:rPr>
          <w:rFonts w:ascii="Times New Roman" w:eastAsia="Times New Roman" w:hAnsi="Times New Roman" w:cs="Times New Roman"/>
          <w:color w:val="000000"/>
          <w:sz w:val="20"/>
          <w:szCs w:val="20"/>
        </w:rPr>
        <w:t>.</w:t>
      </w:r>
    </w:p>
    <w:p w14:paraId="259B78A2" w14:textId="77777777" w:rsidR="00FE5CE1" w:rsidRPr="00296119" w:rsidRDefault="00FE5CE1" w:rsidP="005F607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Pembatasan kredit, dimana kebijakan pembatasan kredit boleh dilakukan oleh bank komersial untuk memberikan jaminan atas penciptaan kredit sesuai dengan target moneter.</w:t>
      </w:r>
    </w:p>
    <w:p w14:paraId="586FA668" w14:textId="6E0F1B81" w:rsidR="00FE5CE1" w:rsidRPr="00296119" w:rsidRDefault="00FE5CE1" w:rsidP="005F6076">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Alokasi kredit yang berbasis pada nilai, dimana realisasi kredit harus bisa meningkatkan kesejahteraanMasyara</w:t>
      </w:r>
      <w:r w:rsidR="003E2F49" w:rsidRPr="00296119">
        <w:rPr>
          <w:rFonts w:ascii="Times New Roman" w:eastAsia="Times New Roman" w:hAnsi="Times New Roman" w:cs="Times New Roman"/>
          <w:color w:val="000000"/>
          <w:sz w:val="20"/>
          <w:szCs w:val="20"/>
        </w:rPr>
        <w:t>kat</w:t>
      </w:r>
      <w:r w:rsidR="003E2F49" w:rsidRPr="00296119">
        <w:rPr>
          <w:rFonts w:ascii="Times New Roman" w:eastAsia="Times New Roman" w:hAnsi="Times New Roman" w:cs="Times New Roman"/>
          <w:color w:val="000000"/>
          <w:sz w:val="20"/>
          <w:szCs w:val="20"/>
        </w:rPr>
        <w:fldChar w:fldCharType="begin" w:fldLock="1"/>
      </w:r>
      <w:r w:rsidR="003E2F49" w:rsidRPr="00296119">
        <w:rPr>
          <w:rFonts w:ascii="Times New Roman" w:eastAsia="Times New Roman" w:hAnsi="Times New Roman" w:cs="Times New Roman"/>
          <w:color w:val="000000"/>
          <w:sz w:val="20"/>
          <w:szCs w:val="20"/>
        </w:rPr>
        <w:instrText>ADDIN CSL_CITATION {"citationItems":[{"id":"ITEM-1","itemData":{"DOI":"10.29313/amwaluna.v2i1.3314","ISSN":"2540-8399","abstract":"Bank Indonesia menggunakan instrumen-instrumen moneter yang akan mencapai sasaran operasional yang berdampak pada sasaran utama kebijakan moneter di Indonesia yaitu inflasi.Sistem moneter ganda yang diterapkan di Indonesia, membuat instrumen-instrumen moneter konvensional berjalan beriringan dengan instrumen moneter syariah. Tujuan pada penelitian ini menjelaskan instrumen moneter menurut syariah di Indonesia dan mengetahui besaran kontribusi instrumen moneter dalam syariah terhadap pengendalian inflasi di Indonesia. Metode penelitian yang digunakan pada penelitian ini yaitu metode regresi simultan dengan menggunakan software Eviews 9. Hasil penelitian yang didapatkan; Pengendalian Inflasi di Indonesia menurut Syariah yaitu dengan menggunakan intrumen-instrumen moneter yang sesuai dengan industri perbankan syariah di Indonesia. Kontribusi instrumen-instrumen moneter syariah terhadap pengendalian inflasi di Indonesia masih sangat kecil. Hal ini berdasarkan hasil pengolahan pada penelitian ini bahwa instrumen moneter syariah hanya beberapa model yang berkontribusi. Nilai kontribusi yang dihasilkan pun sangat kecil dengan skala penilaian R Squared berkisar sangat lemah dan atau lemah.","author":[{"dropping-particle":"","family":"Bayuni","given":"Eva Misfah","non-dropping-particle":"","parse-names":false,"suffix":""},{"dropping-particle":"","family":"Srisusilawati","given":"Popon","non-dropping-particle":"","parse-names":false,"suffix":""}],"container-title":"Amwaluna: Jurnal Ekonomi dan Keuangan Syariah","id":"ITEM-1","issue":"1","issued":{"date-parts":[["2018"]]},"page":"18-38","title":"Kontribusi Instrumen Moneter Syariah Terhadap Pengendalian Inflasi Di Indonesia","type":"article-journal","volume":"2"},"uris":["http://www.mendeley.com/documents/?uuid=d617e146-3440-4079-b347-3ed20b05bce5"]}],"mendeley":{"formattedCitation":"(Bayuni &amp; Srisusilawati, 2018)","plainTextFormattedCitation":"(Bayuni &amp; Srisusilawati, 2018)","previouslyFormattedCitation":"(Bayuni &amp; Srisusilawati, 2018)"},"properties":{"noteIndex":0},"schema":"https://github.com/citation-style-language/schema/raw/master/csl-citation.json"}</w:instrText>
      </w:r>
      <w:r w:rsidR="003E2F49" w:rsidRPr="00296119">
        <w:rPr>
          <w:rFonts w:ascii="Times New Roman" w:eastAsia="Times New Roman" w:hAnsi="Times New Roman" w:cs="Times New Roman"/>
          <w:color w:val="000000"/>
          <w:sz w:val="20"/>
          <w:szCs w:val="20"/>
        </w:rPr>
        <w:fldChar w:fldCharType="separate"/>
      </w:r>
      <w:r w:rsidR="003E2F49" w:rsidRPr="00296119">
        <w:rPr>
          <w:rFonts w:ascii="Times New Roman" w:eastAsia="Times New Roman" w:hAnsi="Times New Roman" w:cs="Times New Roman"/>
          <w:noProof/>
          <w:color w:val="000000"/>
          <w:sz w:val="20"/>
          <w:szCs w:val="20"/>
        </w:rPr>
        <w:t>(Bayuni &amp; Srisusilawati, 2018)</w:t>
      </w:r>
      <w:r w:rsidR="003E2F49" w:rsidRPr="00296119">
        <w:rPr>
          <w:rFonts w:ascii="Times New Roman" w:eastAsia="Times New Roman" w:hAnsi="Times New Roman" w:cs="Times New Roman"/>
          <w:color w:val="000000"/>
          <w:sz w:val="20"/>
          <w:szCs w:val="20"/>
        </w:rPr>
        <w:fldChar w:fldCharType="end"/>
      </w:r>
      <w:r w:rsidR="003E2F49" w:rsidRPr="00296119">
        <w:rPr>
          <w:rFonts w:ascii="Times New Roman" w:eastAsia="Times New Roman" w:hAnsi="Times New Roman" w:cs="Times New Roman"/>
          <w:color w:val="000000"/>
          <w:sz w:val="20"/>
          <w:szCs w:val="20"/>
        </w:rPr>
        <w:t>.</w:t>
      </w:r>
    </w:p>
    <w:p w14:paraId="4E4FCF87" w14:textId="77777777" w:rsidR="00FE5CE1" w:rsidRPr="00296119" w:rsidRDefault="00FE5CE1" w:rsidP="00712E6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Adapun alat </w:t>
      </w:r>
      <w:r w:rsidRPr="00296119">
        <w:rPr>
          <w:rFonts w:ascii="Times New Roman" w:eastAsia="Times New Roman" w:hAnsi="Times New Roman" w:cs="Times New Roman"/>
          <w:sz w:val="20"/>
          <w:szCs w:val="20"/>
        </w:rPr>
        <w:t>instrumen</w:t>
      </w:r>
      <w:r w:rsidRPr="00296119">
        <w:rPr>
          <w:rFonts w:ascii="Times New Roman" w:eastAsia="Times New Roman" w:hAnsi="Times New Roman" w:cs="Times New Roman"/>
          <w:color w:val="000000"/>
          <w:sz w:val="20"/>
          <w:szCs w:val="20"/>
        </w:rPr>
        <w:t xml:space="preserve"> dari kebijakan moneter konvensional diantaranya sebagai berikut:</w:t>
      </w:r>
    </w:p>
    <w:p w14:paraId="66D94F86" w14:textId="77777777" w:rsidR="00FE5CE1" w:rsidRPr="00296119" w:rsidRDefault="00FE5CE1" w:rsidP="00712E6F">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Pasar Terbuka, yaitu </w:t>
      </w:r>
      <w:r w:rsidRPr="00296119">
        <w:rPr>
          <w:rFonts w:ascii="Times New Roman" w:eastAsia="Times New Roman" w:hAnsi="Times New Roman" w:cs="Times New Roman"/>
          <w:sz w:val="20"/>
          <w:szCs w:val="20"/>
        </w:rPr>
        <w:t>kebijakan</w:t>
      </w:r>
      <w:r w:rsidRPr="00296119">
        <w:rPr>
          <w:rFonts w:ascii="Times New Roman" w:eastAsia="Times New Roman" w:hAnsi="Times New Roman" w:cs="Times New Roman"/>
          <w:color w:val="000000"/>
          <w:sz w:val="20"/>
          <w:szCs w:val="20"/>
        </w:rPr>
        <w:t xml:space="preserve"> yang dilakukan pemerintah untuk mengatur jumlah uang yang beredar dengan melakukan jual beli surat-surat berharga</w:t>
      </w:r>
    </w:p>
    <w:p w14:paraId="39CCAD95" w14:textId="77777777" w:rsidR="00FE5CE1" w:rsidRPr="00296119" w:rsidRDefault="00FE5CE1" w:rsidP="00712E6F">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Rasio Cadangan Wajib Minimum, yaitu bank sentral harus menentukan angka rasio minimum antara uang tunai dengan kewajiban giral bank. Apabila bank sentral menurunkan angka tersebut dengan uang tunai yang sama maka bank dapat menciptakan uang dengan jumlah lebih banyak lagi dari sebelumnya.</w:t>
      </w:r>
    </w:p>
    <w:p w14:paraId="7C2C082A" w14:textId="77777777" w:rsidR="00FE5CE1" w:rsidRPr="00296119" w:rsidRDefault="00FE5CE1" w:rsidP="00712E6F">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Penentuan Discount Rate, yaitu sumber dana dari bank umum atau komersial juga sebagai sumber dana yang terakhir. Bank komersial dapat meminjam dari bank sentral dengan tingkat suku bunga sedikiti yang berlaku di pasar bebas.</w:t>
      </w:r>
    </w:p>
    <w:p w14:paraId="404227B2" w14:textId="77777777" w:rsidR="00FE5CE1" w:rsidRPr="00296119" w:rsidRDefault="00FE5CE1" w:rsidP="00712E6F">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Kebijakan bank sentral yang bersifat persuasif berupa himbauan moral kepada bank.</w:t>
      </w:r>
    </w:p>
    <w:p w14:paraId="44F9BBFE" w14:textId="77777777" w:rsidR="00FE5CE1" w:rsidRPr="00296119" w:rsidRDefault="00FE5CE1" w:rsidP="00712E6F">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Ajakan moral, yaitu suatu aturan moneter yang dirancang dalam mengkoordinasi banyak uang yang dapat mengalir kepada masyarakat dalam perekonomian</w:t>
      </w:r>
    </w:p>
    <w:p w14:paraId="3D4AAC89" w14:textId="77777777" w:rsidR="00AA4BAA" w:rsidRPr="00296119" w:rsidRDefault="00FE5CE1" w:rsidP="00712E6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Secara mendasar, terdapat beberapa instrumen kebijakan moneter dalam ekonomi Islam, antara lain : </w:t>
      </w:r>
    </w:p>
    <w:p w14:paraId="687F1CF9" w14:textId="77777777" w:rsidR="00AA4BAA" w:rsidRPr="00296119" w:rsidRDefault="00FE5CE1" w:rsidP="00712E6F">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Reserve Ratio Adalah suatu presentase tertentu dari simpanan bank yang harus dipegang oleh bank sentral, misalnya 5%. Jika bank sentral ingin mengontrol jumlah uang beredar, dapat menaikkan RR misalnya dari 5 persen menjadi 20%, yang dampaknya sisa uang yang ada pada komersial bank menjadi lebih sedikit, begitu sebaliknya. </w:t>
      </w:r>
    </w:p>
    <w:p w14:paraId="1239759C" w14:textId="1162F6EE" w:rsidR="00AA4BAA" w:rsidRPr="00296119" w:rsidRDefault="00FE5CE1" w:rsidP="00712E6F">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Moral Suassion Bank sentral dapat membujuk bank-bank untuk</w:t>
      </w:r>
      <w:r w:rsidR="00FD59EE" w:rsidRPr="00296119">
        <w:rPr>
          <w:rFonts w:ascii="Times New Roman" w:eastAsia="Times New Roman" w:hAnsi="Times New Roman" w:cs="Times New Roman"/>
          <w:color w:val="000000"/>
          <w:sz w:val="20"/>
          <w:szCs w:val="20"/>
        </w:rPr>
        <w:t xml:space="preserve"> </w:t>
      </w:r>
      <w:r w:rsidRPr="00296119">
        <w:rPr>
          <w:rFonts w:ascii="Times New Roman" w:eastAsia="Times New Roman" w:hAnsi="Times New Roman" w:cs="Times New Roman"/>
          <w:color w:val="000000"/>
          <w:sz w:val="20"/>
          <w:szCs w:val="20"/>
        </w:rPr>
        <w:t>meningkatkan permintaan kredit sebagai tanggung jawab mereka ketika ekonomi berada dalam keadaan depresi. Dampaknya, kredit dikucurkan maka uang dapat dipompa ke dalam ekonomi.</w:t>
      </w:r>
    </w:p>
    <w:p w14:paraId="2D2DEA8F" w14:textId="77777777" w:rsidR="00AA4BAA" w:rsidRPr="00296119" w:rsidRDefault="00FE5CE1" w:rsidP="00712E6F">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 xml:space="preserve">Lending Ratio Dalam ekonomi Islam, tidak ada istilah Lending (meminjamkan), lending ratio dalam hal ini berarti Qardhul Hasan (pinjaman kebaikan). </w:t>
      </w:r>
    </w:p>
    <w:p w14:paraId="23C6AC1C" w14:textId="77777777" w:rsidR="00AA4BAA" w:rsidRPr="00296119" w:rsidRDefault="00FE5CE1" w:rsidP="00712E6F">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Refinance Ratio Adalah sejumlah proporsi dari pinjaman bebas bunga. Ketika refinance ratio meningkat, pembiayaan yang diberikan meningkat, dan ketika refinance ratio turun, bank komersial harus hati-hati karena mereka tidak di dorong untuk memberikan pinjaman.</w:t>
      </w:r>
    </w:p>
    <w:p w14:paraId="3C27138F" w14:textId="77777777" w:rsidR="00AA4BAA" w:rsidRPr="00296119" w:rsidRDefault="00FE5CE1" w:rsidP="00712E6F">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Profit Sharing Ratio Ratio bagi keuntungan (profit sharing ratio) harus ditentukan sebelum memulai suatu bisnis. Bank sentral dapat menggunakan profit sharing ratio sebagai instrumen moneter, dimana ketika bank sentral ingin meningkatkan jumlah uang beredar, maka ratio keuntungan untuk nasabah akan ditingkatkan.</w:t>
      </w:r>
    </w:p>
    <w:p w14:paraId="06451D3A" w14:textId="67156DED" w:rsidR="00FE5CE1" w:rsidRPr="00296119" w:rsidRDefault="00FE5CE1" w:rsidP="00712E6F">
      <w:pPr>
        <w:pStyle w:val="ListParagraph"/>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color w:val="000000"/>
          <w:sz w:val="20"/>
          <w:szCs w:val="20"/>
        </w:rPr>
        <w:t>Islamic Sukuk Adalah obligasi pemerintah, di mana ketika terjadi inflasi, pemerintah akan mengeluarkan sukuk lebih banyak sehingga uang akan mengalir ke bank sentral dan jumlah uang beredar akan tereduksi. Jadi sukuk memiliki kapasitas untuk menaikkan atau menurunkan jumlah uang beredar</w:t>
      </w:r>
      <w:r w:rsidR="00C843C3" w:rsidRPr="00296119">
        <w:rPr>
          <w:rFonts w:ascii="Times New Roman" w:eastAsia="Times New Roman" w:hAnsi="Times New Roman" w:cs="Times New Roman"/>
          <w:color w:val="000000"/>
          <w:sz w:val="20"/>
          <w:szCs w:val="20"/>
        </w:rPr>
        <w:fldChar w:fldCharType="begin" w:fldLock="1"/>
      </w:r>
      <w:r w:rsidR="00C843C3" w:rsidRPr="00296119">
        <w:rPr>
          <w:rFonts w:ascii="Times New Roman" w:eastAsia="Times New Roman" w:hAnsi="Times New Roman" w:cs="Times New Roman"/>
          <w:color w:val="000000"/>
          <w:sz w:val="20"/>
          <w:szCs w:val="20"/>
        </w:rPr>
        <w:instrText>ADDIN CSL_CITATION {"citationItems":[{"id":"ITEM-1","itemData":{"abstract":"Money in Islamic economics is only used to transact and keep watch. Money is not a commodity that has a price, therefore money cannot be traded. Money is a publics goods, idle assets will be taxed so that the amount will decrease, therefore money should be used in the productive sector, overall and selecting credit ceiling, moral suasion and change in monetary base, equity based type of securities can still be used to control money and credit, as long as in accordance with the principles of sharia transactions, among others, are Wadiah, Musyarakah, Mudharabah, Ar-Rahn, and Al-Ijarah. Keyword: Money, Monetary Policy, Islamic Economic Law Abstrak:","author":[{"dropping-particle":"","family":"Annisa","given":"","non-dropping-particle":"","parse-names":false,"suffix":""}],"container-title":"Mizan: Journal of Islamic Law","id":"ITEM-1","issue":"2","issued":{"date-parts":[["2017"]]},"page":"109-126","title":"Konsep uang dan kebijakan moneter dalam konsep islam","type":"article-journal","volume":"1"},"uris":["http://www.mendeley.com/documents/?uuid=abb1ed7c-e11e-45be-86b4-05b080feb96a"]}],"mendeley":{"formattedCitation":"(Annisa, 2017)","plainTextFormattedCitation":"(Annisa, 2017)","previouslyFormattedCitation":"(Annisa, 2017)"},"properties":{"noteIndex":0},"schema":"https://github.com/citation-style-language/schema/raw/master/csl-citation.json"}</w:instrText>
      </w:r>
      <w:r w:rsidR="00C843C3" w:rsidRPr="00296119">
        <w:rPr>
          <w:rFonts w:ascii="Times New Roman" w:eastAsia="Times New Roman" w:hAnsi="Times New Roman" w:cs="Times New Roman"/>
          <w:color w:val="000000"/>
          <w:sz w:val="20"/>
          <w:szCs w:val="20"/>
        </w:rPr>
        <w:fldChar w:fldCharType="separate"/>
      </w:r>
      <w:r w:rsidR="00C843C3" w:rsidRPr="00296119">
        <w:rPr>
          <w:rFonts w:ascii="Times New Roman" w:eastAsia="Times New Roman" w:hAnsi="Times New Roman" w:cs="Times New Roman"/>
          <w:noProof/>
          <w:color w:val="000000"/>
          <w:sz w:val="20"/>
          <w:szCs w:val="20"/>
        </w:rPr>
        <w:t>(Annisa, 2017)</w:t>
      </w:r>
      <w:r w:rsidR="00C843C3" w:rsidRPr="00296119">
        <w:rPr>
          <w:rFonts w:ascii="Times New Roman" w:eastAsia="Times New Roman" w:hAnsi="Times New Roman" w:cs="Times New Roman"/>
          <w:color w:val="000000"/>
          <w:sz w:val="20"/>
          <w:szCs w:val="20"/>
        </w:rPr>
        <w:fldChar w:fldCharType="end"/>
      </w:r>
      <w:r w:rsidR="00C843C3" w:rsidRPr="00296119">
        <w:rPr>
          <w:rFonts w:ascii="Times New Roman" w:eastAsia="Times New Roman" w:hAnsi="Times New Roman" w:cs="Times New Roman"/>
          <w:color w:val="000000"/>
          <w:sz w:val="20"/>
          <w:szCs w:val="20"/>
        </w:rPr>
        <w:t>.</w:t>
      </w:r>
    </w:p>
    <w:p w14:paraId="0306CDEB" w14:textId="77777777" w:rsidR="00FD59EE" w:rsidRPr="00296119" w:rsidRDefault="00FE5CE1" w:rsidP="00712E6F">
      <w:pPr>
        <w:spacing w:after="0" w:line="240" w:lineRule="auto"/>
        <w:jc w:val="both"/>
        <w:rPr>
          <w:rFonts w:ascii="Times New Roman" w:eastAsia="Times New Roman" w:hAnsi="Times New Roman" w:cs="Times New Roman"/>
          <w:sz w:val="20"/>
          <w:szCs w:val="20"/>
        </w:rPr>
      </w:pPr>
      <w:r w:rsidRPr="00296119">
        <w:rPr>
          <w:rFonts w:ascii="Times New Roman" w:eastAsia="Times New Roman" w:hAnsi="Times New Roman" w:cs="Times New Roman"/>
          <w:sz w:val="20"/>
          <w:szCs w:val="20"/>
        </w:rPr>
        <w:t>Adapun instrumen kebijakan moneter islam yang diterapkan di Indonesia ialah:</w:t>
      </w:r>
    </w:p>
    <w:p w14:paraId="56214860" w14:textId="77777777" w:rsidR="00FD59EE" w:rsidRPr="00296119" w:rsidRDefault="00FE5CE1" w:rsidP="005F6076">
      <w:pPr>
        <w:pStyle w:val="ListParagraph"/>
        <w:numPr>
          <w:ilvl w:val="0"/>
          <w:numId w:val="26"/>
        </w:numPr>
        <w:spacing w:after="0" w:line="240" w:lineRule="auto"/>
        <w:jc w:val="both"/>
        <w:rPr>
          <w:rFonts w:ascii="Times New Roman" w:eastAsia="Times New Roman" w:hAnsi="Times New Roman" w:cs="Times New Roman"/>
          <w:sz w:val="20"/>
          <w:szCs w:val="20"/>
        </w:rPr>
      </w:pPr>
      <w:r w:rsidRPr="00296119">
        <w:rPr>
          <w:rFonts w:ascii="Times New Roman" w:eastAsia="Times New Roman" w:hAnsi="Times New Roman" w:cs="Times New Roman"/>
          <w:color w:val="000000"/>
          <w:sz w:val="20"/>
          <w:szCs w:val="20"/>
        </w:rPr>
        <w:t>Sertifikat Bank Indonesia Syariah (SBIS)</w:t>
      </w:r>
    </w:p>
    <w:p w14:paraId="2CCC198F" w14:textId="77777777" w:rsidR="00FD59EE" w:rsidRPr="00412505" w:rsidRDefault="00FE5CE1" w:rsidP="005F6076">
      <w:pPr>
        <w:spacing w:after="0" w:line="240" w:lineRule="auto"/>
        <w:ind w:left="284" w:firstLine="360"/>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 xml:space="preserve">Di Indonesia, salah satu instrumen operasi moneter syariah adalah Sertifikat Bank Indonesia Syariah (SBIS). Agar pasar dapat berfungsi dengan baik berdasarkan prinsip syariah, maka otoritas moneter menciptakan suatu alat untuk mengendalikan uang yang beredar sesuai dengan prinsip syariah. Mula-mula, Bank Indonesia menggunakan Serifikat Wadiah Bank Indonesia (SWBI) sesuai dengan PBI No. 6/7/PBI/2004 tanggal 16 Februari 2004. Dalam perkembangannya, SWBI ini diganti dengan instrumen Sertifikat Bank Indonesia Syariah (SBIS) sesuai dengan PBI No.10/11/PBI/2008 tanggal 31 Maret 2008. Pengertian SBIS adalah surat berharga berdasarkan prinsip syariah berjangka waktu pendek dalam mata uang rupiah yang diterbitkan oleh Bank Indonesia. </w:t>
      </w:r>
    </w:p>
    <w:p w14:paraId="5949F0E6" w14:textId="77777777" w:rsidR="005F6076" w:rsidRDefault="00FE5CE1" w:rsidP="005F6076">
      <w:pPr>
        <w:spacing w:after="0" w:line="240" w:lineRule="auto"/>
        <w:ind w:left="284" w:firstLine="436"/>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SBIS merupakan salah satu mekanisme yang digunakan Bank Indonesia untuk mengontrol kestabilan nilai rupiah. Instrumen ini memiliki fungsi sebagai instrument Operasi Pasar Terbuka yang bertujuan untuk mengendalikan kestabilan nilai rupiah dan tingkat inflasi. Dengan menjual SBIS, maka Bank Indonesia dapat menyerap kelebihan uang yang beredar.</w:t>
      </w:r>
    </w:p>
    <w:p w14:paraId="0F028F9D" w14:textId="643ED3A3" w:rsidR="00FD59EE" w:rsidRPr="00412505" w:rsidRDefault="00FE5CE1" w:rsidP="005F6076">
      <w:pPr>
        <w:spacing w:after="0" w:line="240" w:lineRule="auto"/>
        <w:ind w:left="284" w:firstLine="436"/>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SBIS dijual melalui mekanisme lelang dan berfungsi sebagai instrumen moneter Islam yang utama bagi bank sentral selain cadangan minimum. Bank sentral memberi imbalan atau fee kepada bank yang membeli SBIS dan tingkat imbalannya mengacu pada suku bunga SBI. Bank syariah yang menempatkan dana pada SBIS berhak mendapatkan upah (ujrah ju’alah) atas jasa membantu memelihara keseimbangan moneter Indonesia. Pihak yang dapat ikut serta dalam lelang SBIS adalah Bank Umum Syariah (BUS), Unit Usaha Syariah (UUS), atau pialang yang bertindak atas nama BUS/UU</w:t>
      </w:r>
      <w:r w:rsidR="00C843C3" w:rsidRPr="00412505">
        <w:rPr>
          <w:rFonts w:ascii="Times New Roman" w:eastAsia="Times New Roman" w:hAnsi="Times New Roman" w:cs="Times New Roman"/>
          <w:color w:val="000000"/>
          <w:sz w:val="20"/>
          <w:szCs w:val="20"/>
        </w:rPr>
        <w:t>S</w:t>
      </w:r>
      <w:r w:rsidR="00C843C3" w:rsidRPr="00412505">
        <w:rPr>
          <w:rFonts w:ascii="Times New Roman" w:eastAsia="Times New Roman" w:hAnsi="Times New Roman" w:cs="Times New Roman"/>
          <w:color w:val="000000"/>
          <w:sz w:val="20"/>
          <w:szCs w:val="20"/>
        </w:rPr>
        <w:fldChar w:fldCharType="begin" w:fldLock="1"/>
      </w:r>
      <w:r w:rsidR="00C843C3" w:rsidRPr="00412505">
        <w:rPr>
          <w:rFonts w:ascii="Times New Roman" w:eastAsia="Times New Roman" w:hAnsi="Times New Roman" w:cs="Times New Roman"/>
          <w:color w:val="000000"/>
          <w:sz w:val="20"/>
          <w:szCs w:val="20"/>
        </w:rPr>
        <w:instrText>ADDIN CSL_CITATION {"citationItems":[{"id":"ITEM-1","itemData":{"ISSN":"2407-1935","abstract":"The purpose of this study is to analyze the factors that affect the sharia banking in channeling funds in the period January 2012 to December 2016, both partially and simultaneously. The data used are secondary data, with four independent variables namely DPK, SBIS Return, PUAS, and Inflation Rate which were obtained from official website of Bank Indonesia and OJK, as well as financing data of shariah bank as dependent variable obtained from the official web of Bank Indonesia. The research method used is descriptive quantitative method by using multiple linier regression analysis technique. The result of the research shows that the four factors in this study, namely DPK, SBIS Return, PUAS, and Inflation Rate, partially as well as simultaneously have a positive and significant effect on the channeling of Islamic bank funds.","author":[{"dropping-particle":"","family":"Hawa","given":"Rusida Delfa Kendi","non-dropping-particle":"","parse-names":false,"suffix":""},{"dropping-particle":"","family":"Rosyidi","given":"Suherman","non-dropping-particle":"","parse-names":false,"suffix":""}],"container-title":"Jurnal Ekonomi Syariah Teori dan Terapan","id":"ITEM-1","issue":"12","issued":{"date-parts":[["2018"]]},"page":"1004-1019","title":"The Effect of Third Party Funds, SBIS Returns, Satisfaction, and Inflation Rates on Islamic Bank Financing in Indonesia","type":"article-journal","volume":"5"},"uris":["http://www.mendeley.com/documents/?uuid=8fc0c4e3-67e7-453a-95bc-bdc47bb1a964"]}],"mendeley":{"formattedCitation":"(Hawa &amp; Rosyidi, 2018)","plainTextFormattedCitation":"(Hawa &amp; Rosyidi, 2018)","previouslyFormattedCitation":"(Hawa &amp; Rosyidi, 2018)"},"properties":{"noteIndex":0},"schema":"https://github.com/citation-style-language/schema/raw/master/csl-citation.json"}</w:instrText>
      </w:r>
      <w:r w:rsidR="00C843C3" w:rsidRPr="00412505">
        <w:rPr>
          <w:rFonts w:ascii="Times New Roman" w:eastAsia="Times New Roman" w:hAnsi="Times New Roman" w:cs="Times New Roman"/>
          <w:color w:val="000000"/>
          <w:sz w:val="20"/>
          <w:szCs w:val="20"/>
        </w:rPr>
        <w:fldChar w:fldCharType="separate"/>
      </w:r>
      <w:r w:rsidR="00C843C3" w:rsidRPr="00412505">
        <w:rPr>
          <w:rFonts w:ascii="Times New Roman" w:eastAsia="Times New Roman" w:hAnsi="Times New Roman" w:cs="Times New Roman"/>
          <w:noProof/>
          <w:color w:val="000000"/>
          <w:sz w:val="20"/>
          <w:szCs w:val="20"/>
        </w:rPr>
        <w:t>(Hawa &amp; Rosyidi, 2018)</w:t>
      </w:r>
      <w:r w:rsidR="00C843C3" w:rsidRPr="00412505">
        <w:rPr>
          <w:rFonts w:ascii="Times New Roman" w:eastAsia="Times New Roman" w:hAnsi="Times New Roman" w:cs="Times New Roman"/>
          <w:color w:val="000000"/>
          <w:sz w:val="20"/>
          <w:szCs w:val="20"/>
        </w:rPr>
        <w:fldChar w:fldCharType="end"/>
      </w:r>
      <w:r w:rsidR="00C843C3" w:rsidRPr="00412505">
        <w:rPr>
          <w:rFonts w:ascii="Times New Roman" w:eastAsia="Times New Roman" w:hAnsi="Times New Roman" w:cs="Times New Roman"/>
          <w:color w:val="000000"/>
          <w:sz w:val="20"/>
          <w:szCs w:val="20"/>
        </w:rPr>
        <w:t>.</w:t>
      </w:r>
    </w:p>
    <w:p w14:paraId="296EEE10" w14:textId="77777777" w:rsidR="00FD59EE" w:rsidRPr="00033F5A" w:rsidRDefault="00FE5CE1" w:rsidP="00033F5A">
      <w:pPr>
        <w:pStyle w:val="ListParagraph"/>
        <w:numPr>
          <w:ilvl w:val="0"/>
          <w:numId w:val="26"/>
        </w:numPr>
        <w:spacing w:after="0" w:line="240" w:lineRule="auto"/>
        <w:jc w:val="both"/>
        <w:rPr>
          <w:rFonts w:ascii="Times New Roman" w:eastAsia="Times New Roman" w:hAnsi="Times New Roman" w:cs="Times New Roman"/>
          <w:color w:val="000000"/>
          <w:sz w:val="20"/>
          <w:szCs w:val="20"/>
        </w:rPr>
      </w:pPr>
      <w:r w:rsidRPr="00033F5A">
        <w:rPr>
          <w:rFonts w:ascii="Times New Roman" w:eastAsia="Times New Roman" w:hAnsi="Times New Roman" w:cs="Times New Roman"/>
          <w:sz w:val="20"/>
          <w:szCs w:val="20"/>
        </w:rPr>
        <w:t>Fasilitas Simpanan Bank Indonesia Syariah (FASBIS)</w:t>
      </w:r>
    </w:p>
    <w:p w14:paraId="2BD63AF3" w14:textId="77777777" w:rsidR="00FD59EE" w:rsidRPr="00412505" w:rsidRDefault="00FE5CE1" w:rsidP="00033F5A">
      <w:pPr>
        <w:spacing w:after="0" w:line="240" w:lineRule="auto"/>
        <w:ind w:left="284"/>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lastRenderedPageBreak/>
        <w:t>Menurut Surat Edaran Bank Indonesia No. 11/8/DPM tahun 2009, FASBIS adalah fasilitas simpanan yang disediakan oleh Bank Indonesia kepada bank untuk menempatkan dananya di Bank Indonesia dalam rangka standing facilities syariah. Berikut ketentuan dalam FASBIS:</w:t>
      </w:r>
    </w:p>
    <w:p w14:paraId="3703BC50" w14:textId="49C9A35E" w:rsidR="00FD59EE" w:rsidRPr="00412505" w:rsidRDefault="00FE5CE1" w:rsidP="00712E6F">
      <w:pPr>
        <w:pStyle w:val="ListParagraph"/>
        <w:numPr>
          <w:ilvl w:val="0"/>
          <w:numId w:val="25"/>
        </w:numPr>
        <w:spacing w:after="0" w:line="240" w:lineRule="auto"/>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sz w:val="20"/>
          <w:szCs w:val="20"/>
        </w:rPr>
        <w:t>Pengajuan penawaran kuantitas transaksi FASBIS dari setiap peserta transaksi FASBIS paling kurang Rp1.000.000.000,00 (satu miliar rupiah) dan selebihnya dengan kelipatan Rp100.000.000,00 (seratus juta rupiah).</w:t>
      </w:r>
    </w:p>
    <w:p w14:paraId="0131F938" w14:textId="3337AFF8" w:rsidR="00FD59EE" w:rsidRPr="00296119" w:rsidRDefault="00FE5CE1" w:rsidP="00712E6F">
      <w:pPr>
        <w:pStyle w:val="ListParagraph"/>
        <w:numPr>
          <w:ilvl w:val="0"/>
          <w:numId w:val="25"/>
        </w:numP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sz w:val="20"/>
          <w:szCs w:val="20"/>
        </w:rPr>
        <w:t>Jangka waktu FASBIS paling lama 14 (empat belas) hari kalender dihitung dari tanggal penyelesaian transaksi sampai dengan tanggal jatuh tempo.</w:t>
      </w:r>
    </w:p>
    <w:p w14:paraId="5F83D5BC" w14:textId="0BCB04AF" w:rsidR="00FD59EE" w:rsidRPr="00296119" w:rsidRDefault="00FE5CE1" w:rsidP="00712E6F">
      <w:pPr>
        <w:pStyle w:val="ListParagraph"/>
        <w:numPr>
          <w:ilvl w:val="0"/>
          <w:numId w:val="25"/>
        </w:numP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sz w:val="20"/>
          <w:szCs w:val="20"/>
        </w:rPr>
        <w:t>FASBIS tidak dapat diperdagangkan, tidak dapat diagunkan dan tidak dapat dicairkan sebelum jatuh tempo.</w:t>
      </w:r>
    </w:p>
    <w:p w14:paraId="71CB72DD" w14:textId="5DC9EF1C" w:rsidR="00FE5CE1" w:rsidRPr="00296119" w:rsidRDefault="00FE5CE1" w:rsidP="00712E6F">
      <w:pPr>
        <w:pStyle w:val="ListParagraph"/>
        <w:numPr>
          <w:ilvl w:val="0"/>
          <w:numId w:val="25"/>
        </w:numPr>
        <w:spacing w:after="0" w:line="240" w:lineRule="auto"/>
        <w:jc w:val="both"/>
        <w:rPr>
          <w:rFonts w:ascii="Times New Roman" w:eastAsia="Times New Roman" w:hAnsi="Times New Roman" w:cs="Times New Roman"/>
          <w:color w:val="000000"/>
          <w:sz w:val="20"/>
          <w:szCs w:val="20"/>
        </w:rPr>
      </w:pPr>
      <w:r w:rsidRPr="00296119">
        <w:rPr>
          <w:rFonts w:ascii="Times New Roman" w:eastAsia="Times New Roman" w:hAnsi="Times New Roman" w:cs="Times New Roman"/>
          <w:sz w:val="20"/>
          <w:szCs w:val="20"/>
        </w:rPr>
        <w:t>FASBIS menggunakan akad wadi’ah</w:t>
      </w:r>
    </w:p>
    <w:p w14:paraId="726EDF7C" w14:textId="77777777" w:rsidR="00ED0697" w:rsidRPr="00296119" w:rsidRDefault="00ED0697" w:rsidP="00712E6F">
      <w:pPr>
        <w:spacing w:after="0" w:line="240" w:lineRule="auto"/>
        <w:ind w:firstLine="198"/>
        <w:jc w:val="both"/>
        <w:rPr>
          <w:rFonts w:ascii="Times New Roman" w:eastAsia="Times New Roman" w:hAnsi="Times New Roman" w:cs="Times New Roman"/>
          <w:sz w:val="20"/>
          <w:szCs w:val="20"/>
        </w:rPr>
      </w:pPr>
    </w:p>
    <w:p w14:paraId="2AB80ED6" w14:textId="77777777" w:rsidR="00FD59EE" w:rsidRPr="00296119" w:rsidRDefault="004F181F" w:rsidP="00712E6F">
      <w:pPr>
        <w:pStyle w:val="ListParagraph"/>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bCs/>
          <w:i/>
          <w:iCs/>
          <w:color w:val="000000"/>
          <w:sz w:val="20"/>
          <w:szCs w:val="20"/>
        </w:rPr>
      </w:pPr>
      <w:r w:rsidRPr="00296119">
        <w:rPr>
          <w:rFonts w:ascii="Times New Roman" w:eastAsia="Times New Roman" w:hAnsi="Times New Roman" w:cs="Times New Roman"/>
          <w:bCs/>
          <w:i/>
          <w:iCs/>
          <w:sz w:val="20"/>
          <w:szCs w:val="20"/>
          <w:highlight w:val="white"/>
        </w:rPr>
        <w:t xml:space="preserve">Implikasi Kebijakan Moneter Syariah terhadap </w:t>
      </w:r>
      <w:r w:rsidR="00FE5CE1" w:rsidRPr="00296119">
        <w:rPr>
          <w:rFonts w:ascii="Times New Roman" w:eastAsia="Times New Roman" w:hAnsi="Times New Roman" w:cs="Times New Roman"/>
          <w:bCs/>
          <w:i/>
          <w:iCs/>
          <w:sz w:val="20"/>
          <w:szCs w:val="20"/>
        </w:rPr>
        <w:t>Variabel</w:t>
      </w:r>
      <w:r w:rsidR="002A3E20" w:rsidRPr="00296119">
        <w:rPr>
          <w:rFonts w:ascii="Times New Roman" w:eastAsia="Times New Roman" w:hAnsi="Times New Roman" w:cs="Times New Roman"/>
          <w:bCs/>
          <w:i/>
          <w:iCs/>
          <w:sz w:val="20"/>
          <w:szCs w:val="20"/>
        </w:rPr>
        <w:t xml:space="preserve"> Makro</w:t>
      </w:r>
      <w:r w:rsidR="00FE5CE1" w:rsidRPr="00296119">
        <w:rPr>
          <w:rFonts w:ascii="Times New Roman" w:eastAsia="Times New Roman" w:hAnsi="Times New Roman" w:cs="Times New Roman"/>
          <w:bCs/>
          <w:i/>
          <w:iCs/>
          <w:sz w:val="20"/>
          <w:szCs w:val="20"/>
        </w:rPr>
        <w:t xml:space="preserve"> Ekonomi</w:t>
      </w:r>
    </w:p>
    <w:p w14:paraId="5F2803D6" w14:textId="126AEAA2" w:rsidR="00071E03" w:rsidRPr="00412505" w:rsidRDefault="003F03BA"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color w:val="000000"/>
          <w:sz w:val="20"/>
          <w:szCs w:val="20"/>
        </w:rPr>
      </w:pPr>
      <w:r w:rsidRPr="00412505">
        <w:rPr>
          <w:rFonts w:ascii="Times New Roman" w:eastAsia="Times New Roman" w:hAnsi="Times New Roman" w:cs="Times New Roman"/>
          <w:color w:val="000000"/>
          <w:sz w:val="20"/>
          <w:szCs w:val="20"/>
        </w:rPr>
        <w:t>Kebijakan moneter syariah merupakan usaha yang dilakukan dalam mengendalikan keadaan ekonomi makro agar dapat berjalan sesuai yang diinginkan melalui pengaturan jumlah uang yang bereda</w:t>
      </w:r>
      <w:r w:rsidR="000402C8" w:rsidRPr="00412505">
        <w:rPr>
          <w:rFonts w:ascii="Times New Roman" w:eastAsia="Times New Roman" w:hAnsi="Times New Roman" w:cs="Times New Roman"/>
          <w:color w:val="000000"/>
          <w:sz w:val="20"/>
          <w:szCs w:val="20"/>
        </w:rPr>
        <w:t>r</w:t>
      </w:r>
      <w:r w:rsidRPr="00412505">
        <w:rPr>
          <w:rFonts w:ascii="Times New Roman" w:eastAsia="Times New Roman" w:hAnsi="Times New Roman" w:cs="Times New Roman"/>
          <w:color w:val="000000"/>
          <w:sz w:val="20"/>
          <w:szCs w:val="20"/>
        </w:rPr>
        <w:t xml:space="preserve"> dalam perekonomian. Usaha tersebut dilakukan agar terjadi kestabilan </w:t>
      </w:r>
      <w:r w:rsidR="000402C8" w:rsidRPr="00412505">
        <w:rPr>
          <w:rFonts w:ascii="Times New Roman" w:eastAsia="Times New Roman" w:hAnsi="Times New Roman" w:cs="Times New Roman"/>
          <w:sz w:val="20"/>
          <w:szCs w:val="20"/>
        </w:rPr>
        <w:t>arah</w:t>
      </w:r>
      <w:r w:rsidRPr="00412505">
        <w:rPr>
          <w:rFonts w:ascii="Times New Roman" w:eastAsia="Times New Roman" w:hAnsi="Times New Roman" w:cs="Times New Roman"/>
          <w:color w:val="000000"/>
          <w:sz w:val="20"/>
          <w:szCs w:val="20"/>
        </w:rPr>
        <w:t xml:space="preserve"> dan in</w:t>
      </w:r>
      <w:r w:rsidR="000402C8" w:rsidRPr="00412505">
        <w:rPr>
          <w:rFonts w:ascii="Times New Roman" w:eastAsia="Times New Roman" w:hAnsi="Times New Roman" w:cs="Times New Roman"/>
          <w:color w:val="000000"/>
          <w:sz w:val="20"/>
          <w:szCs w:val="20"/>
        </w:rPr>
        <w:t>flasi</w:t>
      </w:r>
      <w:r w:rsidRPr="00412505">
        <w:rPr>
          <w:rFonts w:ascii="Times New Roman" w:eastAsia="Times New Roman" w:hAnsi="Times New Roman" w:cs="Times New Roman"/>
          <w:color w:val="000000"/>
          <w:sz w:val="20"/>
          <w:szCs w:val="20"/>
        </w:rPr>
        <w:t xml:space="preserve"> serta terjadinya peningkatan </w:t>
      </w:r>
      <w:r w:rsidR="000402C8" w:rsidRPr="00412505">
        <w:rPr>
          <w:rFonts w:ascii="Times New Roman" w:eastAsia="Times New Roman" w:hAnsi="Times New Roman" w:cs="Times New Roman"/>
          <w:color w:val="000000"/>
          <w:sz w:val="20"/>
          <w:szCs w:val="20"/>
        </w:rPr>
        <w:t>kese</w:t>
      </w:r>
      <w:r w:rsidRPr="00412505">
        <w:rPr>
          <w:rFonts w:ascii="Times New Roman" w:eastAsia="Times New Roman" w:hAnsi="Times New Roman" w:cs="Times New Roman"/>
          <w:color w:val="000000"/>
          <w:sz w:val="20"/>
          <w:szCs w:val="20"/>
        </w:rPr>
        <w:t xml:space="preserve">imbang atau output. </w:t>
      </w:r>
      <w:r w:rsidRPr="00412505">
        <w:rPr>
          <w:rFonts w:ascii="Times New Roman" w:eastAsia="Times New Roman" w:hAnsi="Times New Roman" w:cs="Times New Roman"/>
          <w:sz w:val="20"/>
          <w:szCs w:val="20"/>
        </w:rPr>
        <w:t>Hampir</w:t>
      </w:r>
      <w:r w:rsidRPr="00412505">
        <w:rPr>
          <w:rFonts w:ascii="Times New Roman" w:eastAsia="Times New Roman" w:hAnsi="Times New Roman" w:cs="Times New Roman"/>
          <w:color w:val="000000"/>
          <w:sz w:val="20"/>
          <w:szCs w:val="20"/>
        </w:rPr>
        <w:t xml:space="preserve"> semua sektor ekonomi terikat sehingga sektor moneter lebih cepat berkem</w:t>
      </w:r>
      <w:r w:rsidRPr="00412505">
        <w:rPr>
          <w:rFonts w:ascii="Times New Roman" w:eastAsia="Times New Roman" w:hAnsi="Times New Roman" w:cs="Times New Roman"/>
          <w:sz w:val="20"/>
          <w:szCs w:val="20"/>
        </w:rPr>
        <w:t>b</w:t>
      </w:r>
      <w:r w:rsidRPr="00412505">
        <w:rPr>
          <w:rFonts w:ascii="Times New Roman" w:eastAsia="Times New Roman" w:hAnsi="Times New Roman" w:cs="Times New Roman"/>
          <w:color w:val="000000"/>
          <w:sz w:val="20"/>
          <w:szCs w:val="20"/>
        </w:rPr>
        <w:t>ang dari pada sektor riil. Dalam hal ini, keselarasan antara sektor moneter akan mempengaruhi sektor perekonomian secara agregat</w:t>
      </w:r>
      <w:r w:rsidR="00CD6B59" w:rsidRPr="00412505">
        <w:rPr>
          <w:rFonts w:ascii="Times New Roman" w:eastAsia="Times New Roman" w:hAnsi="Times New Roman" w:cs="Times New Roman"/>
          <w:color w:val="000000"/>
          <w:sz w:val="20"/>
          <w:szCs w:val="20"/>
        </w:rPr>
        <w:fldChar w:fldCharType="begin" w:fldLock="1"/>
      </w:r>
      <w:r w:rsidR="00CD6B59" w:rsidRPr="00412505">
        <w:rPr>
          <w:rFonts w:ascii="Times New Roman" w:eastAsia="Times New Roman" w:hAnsi="Times New Roman" w:cs="Times New Roman"/>
          <w:color w:val="000000"/>
          <w:sz w:val="20"/>
          <w:szCs w:val="20"/>
        </w:rPr>
        <w:instrText>ADDIN CSL_CITATION {"citationItems":[{"id":"ITEM-1","itemData":{"DOI":"10.33059/jensi.v7i1.7665","ISSN":"2615-1227","abstract":"Economic growth is a picture of the impact of government virtues that are carried out, especially in the economic field. The challenges facing the Islamic finance industry include resolving issues of form over substance, confronting value-based social and ethical finance, and strengthening public trust. These challenges can only be faced if Islamic finance is based on the monetary perspective of Islamic economics. Monetary policy aims to achieve and maintain rupiah stability. The study is based on an analysis of the literature on conventional monetary and Islamic monetary. Policy from an Islamic perspective has not been applied in jurisdictions in Indonesia's economic system. This purpose is as stated in Law No. 6 of 2009 in Article 7. The purpose of this journal is to find out about monetary policy from an Islamic perspective. This is interesting to discuss because there is a fundamental difference between conventional monetary policy and monetary policy from the perspective of Islamic economics","author":[{"dropping-particle":"","family":"Anisa Mawaddah Nasution","given":"","non-dropping-particle":"","parse-names":false,"suffix":""},{"dropping-particle":"","family":"Batubara","given":"Maryam","non-dropping-particle":"","parse-names":false,"suffix":""}],"container-title":"Jurnal Penelitian Ekonomi Akuntansi (JENSI)","id":"ITEM-1","issue":"1","issued":{"date-parts":[["2023"]]},"page":"144-154","title":"Penerapan Kebijakan Moneter Islam pada Sistem Perekonomian Indonesia","type":"article-journal","volume":"7"},"uris":["http://www.mendeley.com/documents/?uuid=aa119397-21e3-4b2e-a3b1-92678b72db5f"]}],"mendeley":{"formattedCitation":"(Anisa Mawaddah Nasution &amp; Batubara, 2023)","plainTextFormattedCitation":"(Anisa Mawaddah Nasution &amp; Batubara, 2023)","previouslyFormattedCitation":"(Anisa Mawaddah Nasution &amp; Batubara, 2023)"},"properties":{"noteIndex":0},"schema":"https://github.com/citation-style-language/schema/raw/master/csl-citation.json"}</w:instrText>
      </w:r>
      <w:r w:rsidR="00CD6B59" w:rsidRPr="00412505">
        <w:rPr>
          <w:rFonts w:ascii="Times New Roman" w:eastAsia="Times New Roman" w:hAnsi="Times New Roman" w:cs="Times New Roman"/>
          <w:color w:val="000000"/>
          <w:sz w:val="20"/>
          <w:szCs w:val="20"/>
        </w:rPr>
        <w:fldChar w:fldCharType="separate"/>
      </w:r>
      <w:r w:rsidR="00CD6B59" w:rsidRPr="00412505">
        <w:rPr>
          <w:rFonts w:ascii="Times New Roman" w:eastAsia="Times New Roman" w:hAnsi="Times New Roman" w:cs="Times New Roman"/>
          <w:noProof/>
          <w:color w:val="000000"/>
          <w:sz w:val="20"/>
          <w:szCs w:val="20"/>
        </w:rPr>
        <w:t>(Anisa Mawaddah Nasution &amp; Batubara, 2023)</w:t>
      </w:r>
      <w:r w:rsidR="00CD6B59" w:rsidRPr="00412505">
        <w:rPr>
          <w:rFonts w:ascii="Times New Roman" w:eastAsia="Times New Roman" w:hAnsi="Times New Roman" w:cs="Times New Roman"/>
          <w:color w:val="000000"/>
          <w:sz w:val="20"/>
          <w:szCs w:val="20"/>
        </w:rPr>
        <w:fldChar w:fldCharType="end"/>
      </w:r>
      <w:r w:rsidR="00CD6B59" w:rsidRPr="00412505">
        <w:rPr>
          <w:rFonts w:ascii="Times New Roman" w:eastAsia="Times New Roman" w:hAnsi="Times New Roman" w:cs="Times New Roman"/>
          <w:color w:val="000000"/>
          <w:sz w:val="20"/>
          <w:szCs w:val="20"/>
        </w:rPr>
        <w:t>.</w:t>
      </w:r>
    </w:p>
    <w:p w14:paraId="7B0DA5DB" w14:textId="3B1964BF" w:rsidR="003F03BA" w:rsidRPr="00412505" w:rsidRDefault="003F03BA"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color w:val="000000"/>
          <w:sz w:val="20"/>
          <w:szCs w:val="20"/>
        </w:rPr>
      </w:pPr>
      <w:r w:rsidRPr="00412505">
        <w:rPr>
          <w:rFonts w:ascii="Times New Roman" w:eastAsia="Times New Roman" w:hAnsi="Times New Roman" w:cs="Times New Roman"/>
          <w:color w:val="000000"/>
          <w:sz w:val="20"/>
          <w:szCs w:val="20"/>
        </w:rPr>
        <w:t xml:space="preserve">Peningkatan pembiyaan bank syariah akan mempengaruhi keseimbangan perekonomian yang akhirnya akan </w:t>
      </w:r>
      <w:r w:rsidRPr="00412505">
        <w:rPr>
          <w:rFonts w:ascii="Times New Roman" w:eastAsia="Times New Roman" w:hAnsi="Times New Roman" w:cs="Times New Roman"/>
          <w:sz w:val="20"/>
          <w:szCs w:val="20"/>
        </w:rPr>
        <w:t>berpengaruh</w:t>
      </w:r>
      <w:r w:rsidRPr="00412505">
        <w:rPr>
          <w:rFonts w:ascii="Times New Roman" w:eastAsia="Times New Roman" w:hAnsi="Times New Roman" w:cs="Times New Roman"/>
          <w:color w:val="000000"/>
          <w:sz w:val="20"/>
          <w:szCs w:val="20"/>
        </w:rPr>
        <w:t xml:space="preserve"> pada pertumbuhan ekonomi. Pertumbuhan sistem keuangan syariah di Indonesia telah semangkin berkembang. Hal ini dapat dilihat dari instrumen moneter syariah yang telah berkembang seiiring dengan peningkatan kinerja dan tingkat kepercayaan masyarakat terhadap perbankan syariah</w:t>
      </w:r>
      <w:r w:rsidR="00CD6B59" w:rsidRPr="00412505">
        <w:rPr>
          <w:rFonts w:ascii="Times New Roman" w:eastAsia="Times New Roman" w:hAnsi="Times New Roman" w:cs="Times New Roman"/>
          <w:color w:val="000000"/>
          <w:sz w:val="20"/>
          <w:szCs w:val="20"/>
        </w:rPr>
        <w:fldChar w:fldCharType="begin" w:fldLock="1"/>
      </w:r>
      <w:r w:rsidR="007E1F71" w:rsidRPr="00412505">
        <w:rPr>
          <w:rFonts w:ascii="Times New Roman" w:eastAsia="Times New Roman" w:hAnsi="Times New Roman" w:cs="Times New Roman"/>
          <w:color w:val="000000"/>
          <w:sz w:val="20"/>
          <w:szCs w:val="20"/>
        </w:rPr>
        <w:instrText>ADDIN CSL_CITATION {"citationItems":[{"id":"ITEM-1","itemData":{"DOI":"10.33059/jensi.v7i1.7665","ISSN":"2615-1227","abstract":"Economic growth is a picture of the impact of government virtues that are carried out, especially in the economic field. The challenges facing the Islamic finance industry include resolving issues of form over substance, confronting value-based social and ethical finance, and strengthening public trust. These challenges can only be faced if Islamic finance is based on the monetary perspective of Islamic economics. Monetary policy aims to achieve and maintain rupiah stability. The study is based on an analysis of the literature on conventional monetary and Islamic monetary. Policy from an Islamic perspective has not been applied in jurisdictions in Indonesia's economic system. This purpose is as stated in Law No. 6 of 2009 in Article 7. The purpose of this journal is to find out about monetary policy from an Islamic perspective. This is interesting to discuss because there is a fundamental difference between conventional monetary policy and monetary policy from the perspective of Islamic economics","author":[{"dropping-particle":"","family":"Anisa Mawaddah Nasution","given":"","non-dropping-particle":"","parse-names":false,"suffix":""},{"dropping-particle":"","family":"Batubara","given":"Maryam","non-dropping-particle":"","parse-names":false,"suffix":""}],"container-title":"Jurnal Penelitian Ekonomi Akuntansi (JENSI)","id":"ITEM-1","issue":"1","issued":{"date-parts":[["2023"]]},"page":"144-154","title":"Penerapan Kebijakan Moneter Islam pada Sistem Perekonomian Indonesia","type":"article-journal","volume":"7"},"uris":["http://www.mendeley.com/documents/?uuid=aa119397-21e3-4b2e-a3b1-92678b72db5f"]}],"mendeley":{"formattedCitation":"(Anisa Mawaddah Nasution &amp; Batubara, 2023)","plainTextFormattedCitation":"(Anisa Mawaddah Nasution &amp; Batubara, 2023)","previouslyFormattedCitation":"(Anisa Mawaddah Nasution &amp; Batubara, 2023)"},"properties":{"noteIndex":0},"schema":"https://github.com/citation-style-language/schema/raw/master/csl-citation.json"}</w:instrText>
      </w:r>
      <w:r w:rsidR="00CD6B59" w:rsidRPr="00412505">
        <w:rPr>
          <w:rFonts w:ascii="Times New Roman" w:eastAsia="Times New Roman" w:hAnsi="Times New Roman" w:cs="Times New Roman"/>
          <w:color w:val="000000"/>
          <w:sz w:val="20"/>
          <w:szCs w:val="20"/>
        </w:rPr>
        <w:fldChar w:fldCharType="separate"/>
      </w:r>
      <w:r w:rsidR="00CD6B59" w:rsidRPr="00412505">
        <w:rPr>
          <w:rFonts w:ascii="Times New Roman" w:eastAsia="Times New Roman" w:hAnsi="Times New Roman" w:cs="Times New Roman"/>
          <w:noProof/>
          <w:color w:val="000000"/>
          <w:sz w:val="20"/>
          <w:szCs w:val="20"/>
        </w:rPr>
        <w:t>(Anisa Mawaddah Nasution &amp; Batubara, 2023)</w:t>
      </w:r>
      <w:r w:rsidR="00CD6B59" w:rsidRPr="00412505">
        <w:rPr>
          <w:rFonts w:ascii="Times New Roman" w:eastAsia="Times New Roman" w:hAnsi="Times New Roman" w:cs="Times New Roman"/>
          <w:color w:val="000000"/>
          <w:sz w:val="20"/>
          <w:szCs w:val="20"/>
        </w:rPr>
        <w:fldChar w:fldCharType="end"/>
      </w:r>
      <w:r w:rsidR="00CD6B59" w:rsidRPr="00412505">
        <w:rPr>
          <w:rFonts w:ascii="Times New Roman" w:eastAsia="Times New Roman" w:hAnsi="Times New Roman" w:cs="Times New Roman"/>
          <w:color w:val="000000"/>
          <w:sz w:val="20"/>
          <w:szCs w:val="20"/>
        </w:rPr>
        <w:t>.</w:t>
      </w:r>
    </w:p>
    <w:p w14:paraId="0000002B" w14:textId="7A438996"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color w:val="000000"/>
          <w:sz w:val="20"/>
          <w:szCs w:val="20"/>
        </w:rPr>
      </w:pPr>
      <w:r w:rsidRPr="00412505">
        <w:rPr>
          <w:rFonts w:ascii="Times New Roman" w:eastAsia="Times New Roman" w:hAnsi="Times New Roman" w:cs="Times New Roman"/>
          <w:sz w:val="20"/>
          <w:szCs w:val="20"/>
          <w:highlight w:val="white"/>
        </w:rPr>
        <w:t>Implikasi  kebijakan  moneter  syariah  terhadap  tingkat  inflasi  dapat  dilihat  dari beberapa aspek yang mencakup penggunaan sistem ekonomi berbasis syariah, pengaruh nilai tukar mata uang, dan pengendalian inflasi melalui mekanisme keuangan yang sesuai dengan  prinsip  syariah.  Pertama,  penggunaan  dinar,  dirham,  atau gold  standard  dalam sistem  moneter  syariah  dapat  membantu  mengurangi  inflasi  karena  nilai  intrinsik  mata uang yang di-backup dengan emas dapat menjaga stabilitas nilai tukarnya terhadap mata uang  asing,  mengurangi  dampak  inflasi  yang  disebabkan  oleh  pelemahan  nilai  tukar domestik.  Selain  itu,  penghilangan  bunga  dan  transaksi  ribawi  dalam  sistem  keuangan syariah  juga  dapat  membantu  mengendalikan  inflasi,  karena  sistem  kapitalis  yang memupuk bunga dapat menciptakan inflasi yang merugikan ekonomi</w:t>
      </w:r>
      <w:r w:rsidR="007E1F71" w:rsidRPr="00412505">
        <w:rPr>
          <w:rFonts w:ascii="Times New Roman" w:eastAsia="Times New Roman" w:hAnsi="Times New Roman" w:cs="Times New Roman"/>
          <w:sz w:val="20"/>
          <w:szCs w:val="20"/>
          <w:highlight w:val="white"/>
        </w:rPr>
        <w:fldChar w:fldCharType="begin" w:fldLock="1"/>
      </w:r>
      <w:r w:rsidR="007E1F71" w:rsidRPr="00412505">
        <w:rPr>
          <w:rFonts w:ascii="Times New Roman" w:eastAsia="Times New Roman" w:hAnsi="Times New Roman" w:cs="Times New Roman"/>
          <w:sz w:val="20"/>
          <w:szCs w:val="20"/>
          <w:highlight w:val="white"/>
        </w:rPr>
        <w:instrText>ADDIN CSL_CITATION {"citationItems":[{"id":"ITEM-1","itemData":{"abstract":"Sharia monetary policy has become the focus of attention in global economic studies, especially in the context of efforts to maintain currency stability. With principles based on Islamic values, sharia monetary policy emphasizes the prohibition of usury, transparency, justice and economic balance. Through the prohibition of usury, sharia monetary policy influences interest rates, credit, and inflation, which in turn impact currency exchange rates. Transparency in sharia monetary policy also increases public confidence in the financial system and currency, while fairness in the distribution of wealth can create sustainable socioeconomic stability. The principles of economic balance in sharia monetary policy also play an important role in influencing currency stability by maintaining a balance between the supply and demand for money. As a result, Sharia monetary policy promotes long-term stability in the financial system and currency, which in turn contributes to economic sustainability and currency exchange rate stability in the long-term.","author":[{"dropping-particle":"","family":"Ningrum","given":"Deviana Putri","non-dropping-particle":"","parse-names":false,"suffix":""},{"dropping-particle":"","family":"Hasanah","given":"Siti Aisyah","non-dropping-particle":"","parse-names":false,"suffix":""},{"dropping-particle":"","family":"Zaroh","given":"Yuni","non-dropping-particle":"","parse-names":false,"suffix":""},{"dropping-particle":"","family":"Firdaus","given":"Naufal","non-dropping-particle":"","parse-names":false,"suffix":""}],"container-title":"Jurnal Media Akademik","id":"ITEM-1","issue":"6","issued":{"date-parts":[["2024"]]},"page":"3031-5220","title":"Pengaruh Kebijakan Moneter Syariah Terhadap Stabilitas Mata Uang","type":"article-journal","volume":"2"},"uris":["http://www.mendeley.com/documents/?uuid=ed9d327b-dea6-4eb5-ad69-b21e8d36541c"]}],"mendeley":{"formattedCitation":"(Ningrum et al., 2024)","plainTextFormattedCitation":"(Ningrum et al., 2024)","previouslyFormattedCitation":"(Ningrum et al., 2024)"},"properties":{"noteIndex":0},"schema":"https://github.com/citation-style-language/schema/raw/master/csl-citation.json"}</w:instrText>
      </w:r>
      <w:r w:rsidR="007E1F71" w:rsidRPr="00412505">
        <w:rPr>
          <w:rFonts w:ascii="Times New Roman" w:eastAsia="Times New Roman" w:hAnsi="Times New Roman" w:cs="Times New Roman"/>
          <w:sz w:val="20"/>
          <w:szCs w:val="20"/>
          <w:highlight w:val="white"/>
        </w:rPr>
        <w:fldChar w:fldCharType="separate"/>
      </w:r>
      <w:r w:rsidR="007E1F71" w:rsidRPr="00412505">
        <w:rPr>
          <w:rFonts w:ascii="Times New Roman" w:eastAsia="Times New Roman" w:hAnsi="Times New Roman" w:cs="Times New Roman"/>
          <w:noProof/>
          <w:sz w:val="20"/>
          <w:szCs w:val="20"/>
          <w:highlight w:val="white"/>
        </w:rPr>
        <w:t>(Ningrum et al., 2024)</w:t>
      </w:r>
      <w:r w:rsidR="007E1F71" w:rsidRPr="00412505">
        <w:rPr>
          <w:rFonts w:ascii="Times New Roman" w:eastAsia="Times New Roman" w:hAnsi="Times New Roman" w:cs="Times New Roman"/>
          <w:sz w:val="20"/>
          <w:szCs w:val="20"/>
          <w:highlight w:val="white"/>
        </w:rPr>
        <w:fldChar w:fldCharType="end"/>
      </w:r>
    </w:p>
    <w:p w14:paraId="079CE08C" w14:textId="77777777" w:rsidR="00412505" w:rsidRDefault="004F181F" w:rsidP="00712E6F">
      <w:pPr>
        <w:spacing w:after="0" w:line="240" w:lineRule="auto"/>
        <w:ind w:firstLine="360"/>
        <w:jc w:val="both"/>
        <w:rPr>
          <w:rFonts w:ascii="Times New Roman" w:eastAsia="Times New Roman" w:hAnsi="Times New Roman" w:cs="Times New Roman"/>
          <w:sz w:val="20"/>
          <w:szCs w:val="20"/>
        </w:rPr>
      </w:pPr>
      <w:r w:rsidRPr="00296119">
        <w:rPr>
          <w:rFonts w:ascii="Times New Roman" w:eastAsia="Times New Roman" w:hAnsi="Times New Roman" w:cs="Times New Roman"/>
          <w:sz w:val="20"/>
          <w:szCs w:val="20"/>
          <w:highlight w:val="white"/>
        </w:rPr>
        <w:t>Dalam konteks kebijakan moneter syariah, upaya kontraksi moneter (mengurangi likuiditas  bank  umum)  dan  ekspansi  moneter  (menambah  likuiditas  bank  umum) dilakukan dengan prinsip syariah untuk mengendalikan inflasi. Kontraksi moneter yang berhubungan  positif  dengan  inflasi  dan  ekspansi  moneter  yang  berhubungan  negatif dengan inflasi menjadi instrumen penting dalam mengatur tingkat inflasi dengan prinsip syariah.  Dengan  demikian,  kebijakan  moneter  syariah  tidak  hanya  berfokus  pada stabilitas harga, tetapi juga memperhatikan aspek keadilan dan keberlanjutan ekonomi dalam mengendalikan inflasi</w:t>
      </w:r>
      <w:r w:rsidR="007E1F71" w:rsidRPr="00296119">
        <w:rPr>
          <w:rFonts w:ascii="Times New Roman" w:eastAsia="Times New Roman" w:hAnsi="Times New Roman" w:cs="Times New Roman"/>
          <w:sz w:val="20"/>
          <w:szCs w:val="20"/>
          <w:highlight w:val="white"/>
        </w:rPr>
        <w:fldChar w:fldCharType="begin" w:fldLock="1"/>
      </w:r>
      <w:r w:rsidR="00EA007A" w:rsidRPr="00296119">
        <w:rPr>
          <w:rFonts w:ascii="Times New Roman" w:eastAsia="Times New Roman" w:hAnsi="Times New Roman" w:cs="Times New Roman"/>
          <w:sz w:val="20"/>
          <w:szCs w:val="20"/>
          <w:highlight w:val="white"/>
        </w:rPr>
        <w:instrText>ADDIN CSL_CITATION {"citationItems":[{"id":"ITEM-1","itemData":{"abstract":"Sharia monetary policy has become the focus of attention in global economic studies, especially in the context of efforts to maintain currency stability. With principles based on Islamic values, sharia monetary policy emphasizes the prohibition of usury, transparency, justice and economic balance. Through the prohibition of usury, sharia monetary policy influences interest rates, credit, and inflation, which in turn impact currency exchange rates. Transparency in sharia monetary policy also increases public confidence in the financial system and currency, while fairness in the distribution of wealth can create sustainable socioeconomic stability. The principles of economic balance in sharia monetary policy also play an important role in influencing currency stability by maintaining a balance between the supply and demand for money. As a result, Sharia monetary policy promotes long-term stability in the financial system and currency, which in turn contributes to economic sustainability and currency exchange rate stability in the long-term.","author":[{"dropping-particle":"","family":"Ningrum","given":"Deviana Putri","non-dropping-particle":"","parse-names":false,"suffix":""},{"dropping-particle":"","family":"Hasanah","given":"Siti Aisyah","non-dropping-particle":"","parse-names":false,"suffix":""},{"dropping-particle":"","family":"Zaroh","given":"Yuni","non-dropping-particle":"","parse-names":false,"suffix":""},{"dropping-particle":"","family":"Firdaus","given":"Naufal","non-dropping-particle":"","parse-names":false,"suffix":""}],"container-title":"Jurnal Media Akademik","id":"ITEM-1","issue":"6","issued":{"date-parts":[["2024"]]},"page":"3031-5220","title":"Pengaruh Kebijakan Moneter Syariah Terhadap Stabilitas Mata Uang","type":"article-journal","volume":"2"},"uris":["http://www.mendeley.com/documents/?uuid=ed9d327b-dea6-4eb5-ad69-b21e8d36541c"]}],"mendeley":{"formattedCitation":"(Ningrum et al., 2024)","plainTextFormattedCitation":"(Ningrum et al., 2024)","previouslyFormattedCitation":"(Ningrum et al., 2024)"},"properties":{"noteIndex":0},"schema":"https://github.com/citation-style-language/schema/raw/master/csl-citation.json"}</w:instrText>
      </w:r>
      <w:r w:rsidR="007E1F71" w:rsidRPr="00296119">
        <w:rPr>
          <w:rFonts w:ascii="Times New Roman" w:eastAsia="Times New Roman" w:hAnsi="Times New Roman" w:cs="Times New Roman"/>
          <w:sz w:val="20"/>
          <w:szCs w:val="20"/>
          <w:highlight w:val="white"/>
        </w:rPr>
        <w:fldChar w:fldCharType="separate"/>
      </w:r>
      <w:r w:rsidR="007E1F71" w:rsidRPr="00296119">
        <w:rPr>
          <w:rFonts w:ascii="Times New Roman" w:eastAsia="Times New Roman" w:hAnsi="Times New Roman" w:cs="Times New Roman"/>
          <w:noProof/>
          <w:sz w:val="20"/>
          <w:szCs w:val="20"/>
          <w:highlight w:val="white"/>
        </w:rPr>
        <w:t>(Ningrum et al., 2024)</w:t>
      </w:r>
      <w:r w:rsidR="007E1F71" w:rsidRPr="00296119">
        <w:rPr>
          <w:rFonts w:ascii="Times New Roman" w:eastAsia="Times New Roman" w:hAnsi="Times New Roman" w:cs="Times New Roman"/>
          <w:sz w:val="20"/>
          <w:szCs w:val="20"/>
          <w:highlight w:val="white"/>
        </w:rPr>
        <w:fldChar w:fldCharType="end"/>
      </w:r>
    </w:p>
    <w:p w14:paraId="0000006E" w14:textId="28921784" w:rsidR="00596A2A" w:rsidRPr="00412505" w:rsidRDefault="004F181F" w:rsidP="00712E6F">
      <w:pPr>
        <w:spacing w:after="0" w:line="240" w:lineRule="auto"/>
        <w:ind w:firstLine="360"/>
        <w:jc w:val="both"/>
        <w:rPr>
          <w:rFonts w:ascii="Times New Roman" w:eastAsia="Times New Roman" w:hAnsi="Times New Roman" w:cs="Times New Roman"/>
          <w:sz w:val="20"/>
          <w:szCs w:val="20"/>
          <w:highlight w:val="white"/>
        </w:rPr>
      </w:pPr>
      <w:r w:rsidRPr="00296119">
        <w:rPr>
          <w:rFonts w:ascii="Times New Roman" w:eastAsia="Times New Roman" w:hAnsi="Times New Roman" w:cs="Times New Roman"/>
          <w:color w:val="000000"/>
          <w:sz w:val="20"/>
          <w:szCs w:val="20"/>
        </w:rPr>
        <w:t>Kebijakan moneter syariah memiliki dampak yang signifikan terhadap pertumbuhan ekonomi dengan beberapa aspek utama yang perlu diperhatikan. Pertama, dalam hal stabilitas finansial, kebijakan ini cenderung mendorong stabilitas melalui mekanisme bagi hasil dan larangan terhadap aktivitas spekulatif. Hal ini berbeda dengan  sistem  konvensional  yang  lebih  rentan  terhadap  krisis  keuangan  akibat  praktik  spekulatif  yang berlebihan. Kedua,  inklusi  keuangan  menjadi  fokus  utama  dalam  sistem  perbankan  syariah.  Dengan menawarkan alternatif pembiayaan yang sesuai dengan prinsip syariah, seperti mudharabah dan musyarakah, sistem  ini  memperluas  akses  keuangan  kepada  kelompok  yang  sebelumnya tidak  terlayani  oleh  perbankan konvensional.  Dengan  demikian,  masyarakat  yang  lebih  luas  dapat  mengakses  pendanaan  untuk  usaha produktif mereka, mendukung pertumbuhan ekonomi secara inklusif</w:t>
      </w:r>
      <w:r w:rsidR="00EA007A" w:rsidRPr="00296119">
        <w:rPr>
          <w:rFonts w:ascii="Times New Roman" w:eastAsia="Times New Roman" w:hAnsi="Times New Roman" w:cs="Times New Roman"/>
          <w:color w:val="000000"/>
          <w:sz w:val="20"/>
          <w:szCs w:val="20"/>
        </w:rPr>
        <w:fldChar w:fldCharType="begin" w:fldLock="1"/>
      </w:r>
      <w:r w:rsidR="006A3EB1" w:rsidRPr="00296119">
        <w:rPr>
          <w:rFonts w:ascii="Times New Roman" w:eastAsia="Times New Roman" w:hAnsi="Times New Roman" w:cs="Times New Roman"/>
          <w:color w:val="000000"/>
          <w:sz w:val="20"/>
          <w:szCs w:val="20"/>
        </w:rPr>
        <w:instrText>ADDIN CSL_CITATION {"citationItems":[{"id":"ITEM-1","itemData":{"author":[{"dropping-particle":"","family":"Dainy","given":"Octaviana","non-dropping-particle":"","parse-names":false,"suffix":""},{"dropping-particle":"","family":"Hasanah","given":"Ismatul","non-dropping-particle":"","parse-names":false,"suffix":""},{"dropping-particle":"","family":"Sopia","given":"Siti","non-dropping-particle":"","parse-names":false,"suffix":""},{"dropping-particle":"","family":"Sari","given":"Rasidah Novita","non-dropping-particle":"","parse-names":false,"suffix":""}],"id":"ITEM-1","issued":{"date-parts":[["2025"]]},"title":"Pengaruh Implementasi Kebijakan Moneter Syariah Terhadap Pertumbuhan Ekonomi di Indonesia Periode 2020-2023","type":"article-journal"},"uris":["http://www.mendeley.com/documents/?uuid=ff2c6da6-0a26-4f0e-88bd-e19dbfaff241"]}],"mendeley":{"formattedCitation":"(Dainy et al., 2025)","plainTextFormattedCitation":"(Dainy et al., 2025)","previouslyFormattedCitation":"(Dainy et al., 2025)"},"properties":{"noteIndex":0},"schema":"https://github.com/citation-style-language/schema/raw/master/csl-citation.json"}</w:instrText>
      </w:r>
      <w:r w:rsidR="00EA007A" w:rsidRPr="00296119">
        <w:rPr>
          <w:rFonts w:ascii="Times New Roman" w:eastAsia="Times New Roman" w:hAnsi="Times New Roman" w:cs="Times New Roman"/>
          <w:color w:val="000000"/>
          <w:sz w:val="20"/>
          <w:szCs w:val="20"/>
        </w:rPr>
        <w:fldChar w:fldCharType="separate"/>
      </w:r>
      <w:r w:rsidR="00EA007A" w:rsidRPr="00296119">
        <w:rPr>
          <w:rFonts w:ascii="Times New Roman" w:eastAsia="Times New Roman" w:hAnsi="Times New Roman" w:cs="Times New Roman"/>
          <w:noProof/>
          <w:color w:val="000000"/>
          <w:sz w:val="20"/>
          <w:szCs w:val="20"/>
        </w:rPr>
        <w:t>(Dainy et al., 2025)</w:t>
      </w:r>
      <w:r w:rsidR="00EA007A" w:rsidRPr="00296119">
        <w:rPr>
          <w:rFonts w:ascii="Times New Roman" w:eastAsia="Times New Roman" w:hAnsi="Times New Roman" w:cs="Times New Roman"/>
          <w:color w:val="000000"/>
          <w:sz w:val="20"/>
          <w:szCs w:val="20"/>
        </w:rPr>
        <w:fldChar w:fldCharType="end"/>
      </w:r>
    </w:p>
    <w:p w14:paraId="0000006F" w14:textId="768D9239"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296119">
        <w:rPr>
          <w:rFonts w:ascii="Times New Roman" w:eastAsia="Times New Roman" w:hAnsi="Times New Roman" w:cs="Times New Roman"/>
          <w:color w:val="000000"/>
          <w:sz w:val="20"/>
          <w:szCs w:val="20"/>
        </w:rPr>
        <w:t xml:space="preserve">Selanjutnya,   kebijakan   moneter   syariah   yang   berorientasi   pada   ekuitas   juga   dapat   mendorong pertumbuhan investasi produktif. Prinsip berbagi risiko dan keuntungan dalam transaksi seperti mudharabah dan  musyarakah  merangsang  para  pemangku  kepentingan  untuk  berinvestasi  dalam  proyek-proyek  yang berpotensi  memberikan  dampak  ekonomi  positif  jangka  panjang.  Dengan  demikian,  investasi  yang  lebih berkelanjutan dan berorientasi pada pengembangan sektor riil dapat menggerakkan roda ekonomi dengan lebih efektif  dibandingkan  dengan  pendekatan  spekulatif.Secara  keseluruhan,  kebijakan  moneter  syariah  tidak hanya  mengutamakan  kestabilan  finansial  melalui  prinsip-prinsip  yang  mengurangi  risiko  spekulatif,  tetapi juga mempromosikan  inklusi keuangan dan  pertumbuhan  investasi produktif. Dalam konteks ini, </w:t>
      </w:r>
      <w:r w:rsidRPr="00296119">
        <w:rPr>
          <w:rFonts w:ascii="Times New Roman" w:eastAsia="Times New Roman" w:hAnsi="Times New Roman" w:cs="Times New Roman"/>
          <w:sz w:val="20"/>
          <w:szCs w:val="20"/>
        </w:rPr>
        <w:t>sistem ini</w:t>
      </w:r>
      <w:r w:rsidRPr="00296119">
        <w:rPr>
          <w:rFonts w:ascii="Times New Roman" w:eastAsia="Times New Roman" w:hAnsi="Times New Roman" w:cs="Times New Roman"/>
          <w:color w:val="000000"/>
          <w:sz w:val="20"/>
          <w:szCs w:val="20"/>
        </w:rPr>
        <w:t xml:space="preserve"> memainkan  peran  penting  dalam  memperkuat  fondasi  ekonomi  yang  lebih  stabil  dan  inklusif,  yang  pada akhirnya dapat mendukung pertumbuhan ekonomi yang berkelanjutan dan merata</w:t>
      </w:r>
      <w:r w:rsidR="004C22C5" w:rsidRPr="00296119">
        <w:rPr>
          <w:rFonts w:ascii="Times New Roman" w:eastAsia="Times New Roman" w:hAnsi="Times New Roman" w:cs="Times New Roman"/>
          <w:color w:val="000000"/>
          <w:sz w:val="20"/>
          <w:szCs w:val="20"/>
        </w:rPr>
        <w:fldChar w:fldCharType="begin" w:fldLock="1"/>
      </w:r>
      <w:r w:rsidR="004C22C5" w:rsidRPr="00296119">
        <w:rPr>
          <w:rFonts w:ascii="Times New Roman" w:eastAsia="Times New Roman" w:hAnsi="Times New Roman" w:cs="Times New Roman"/>
          <w:color w:val="000000"/>
          <w:sz w:val="20"/>
          <w:szCs w:val="20"/>
        </w:rPr>
        <w:instrText>ADDIN CSL_CITATION {"citationItems":[{"id":"ITEM-1","itemData":{"DOI":"10.15408/aiq.v5i2.2569","ISSN":"2087-135X","abstract":"The Influence of Islamic Monetary Instruments and Exports to Economic Growth In Indonesia. The aim from this research is to analyze the effect of total financing in Islamic banking (PEM), Sharia Certificate of Bank Indonesia (SBIS) and export contribution to economic growth in Indonesia. The method that used in this study is error correction model (ECM). The result showed that in short-run SBIS gave a negative impact to economic growth, otherwise the total financing and export contribution didn't have an impact to economic growth. In the long-run, total financing, SBIS, and export contribution have a negative impact to Indonesian economic growth.","author":[{"dropping-particle":"","family":"Asnuri","given":"Wulan","non-dropping-particle":"","parse-names":false,"suffix":""}],"container-title":"Al-Iqtishad: Journal of Islamic Economics","id":"ITEM-1","issue":"2","issued":{"date-parts":[["2015"]]},"title":"Pengaruh Instrumen Moneter Syariah dan Ekspor Terhadap Pertumbuhan Ekonomi di Indonesia","type":"article-journal","volume":"5"},"uris":["http://www.mendeley.com/documents/?uuid=bc3e0bcc-fe7b-4730-9940-2124d08fbe2e"]}],"mendeley":{"formattedCitation":"(Asnuri, 2015)","plainTextFormattedCitation":"(Asnuri, 2015)","previouslyFormattedCitation":"(Asnuri, 2015)"},"properties":{"noteIndex":0},"schema":"https://github.com/citation-style-language/schema/raw/master/csl-citation.json"}</w:instrText>
      </w:r>
      <w:r w:rsidR="004C22C5" w:rsidRPr="00296119">
        <w:rPr>
          <w:rFonts w:ascii="Times New Roman" w:eastAsia="Times New Roman" w:hAnsi="Times New Roman" w:cs="Times New Roman"/>
          <w:color w:val="000000"/>
          <w:sz w:val="20"/>
          <w:szCs w:val="20"/>
        </w:rPr>
        <w:fldChar w:fldCharType="separate"/>
      </w:r>
      <w:r w:rsidR="004C22C5" w:rsidRPr="00296119">
        <w:rPr>
          <w:rFonts w:ascii="Times New Roman" w:eastAsia="Times New Roman" w:hAnsi="Times New Roman" w:cs="Times New Roman"/>
          <w:noProof/>
          <w:color w:val="000000"/>
          <w:sz w:val="20"/>
          <w:szCs w:val="20"/>
        </w:rPr>
        <w:t>(Asnuri, 2015)</w:t>
      </w:r>
      <w:r w:rsidR="004C22C5" w:rsidRPr="00296119">
        <w:rPr>
          <w:rFonts w:ascii="Times New Roman" w:eastAsia="Times New Roman" w:hAnsi="Times New Roman" w:cs="Times New Roman"/>
          <w:color w:val="000000"/>
          <w:sz w:val="20"/>
          <w:szCs w:val="20"/>
        </w:rPr>
        <w:fldChar w:fldCharType="end"/>
      </w:r>
      <w:r w:rsidR="004C22C5" w:rsidRPr="00296119">
        <w:rPr>
          <w:rFonts w:ascii="Times New Roman" w:eastAsia="Times New Roman" w:hAnsi="Times New Roman" w:cs="Times New Roman"/>
          <w:color w:val="000000"/>
          <w:sz w:val="20"/>
          <w:szCs w:val="20"/>
        </w:rPr>
        <w:t>.</w:t>
      </w:r>
    </w:p>
    <w:p w14:paraId="00000070" w14:textId="1C1FAB85"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highlight w:val="white"/>
        </w:rPr>
      </w:pPr>
      <w:r w:rsidRPr="00296119">
        <w:rPr>
          <w:rFonts w:ascii="Times New Roman" w:eastAsia="Times New Roman" w:hAnsi="Times New Roman" w:cs="Times New Roman"/>
          <w:sz w:val="20"/>
          <w:szCs w:val="20"/>
          <w:highlight w:val="white"/>
        </w:rPr>
        <w:t>Pengaruh  kebijakan  moneter  syariah  terhadap  inflasi  dan  nilai  tukar  menjadi perhatian penting dalam konteks ekonomi yang berbasis pada prinsip - prinsip Islam. Salah satu  aspek  penting  dalam  kebijakan  moneter  syariah  adalah  pengendalian  inflasi,  yang merupakan tujuan utama dalam memastikan stabilitas harga yang sesuai dengan prinsip keadilan  dan  kesejahteraan.  Kebijakan  moneter  syariah  cenderung  lebih  konservatif dalam menetapkan suku bunga dan lebih memperhatikan stabilitas harga jangka panjang, yang dapat memiliki dampak yang berbeda terhadap tingkat inflasi dibandingkan dengan kebijakan konv</w:t>
      </w:r>
      <w:r w:rsidR="006A3EB1" w:rsidRPr="00296119">
        <w:rPr>
          <w:rFonts w:ascii="Times New Roman" w:eastAsia="Times New Roman" w:hAnsi="Times New Roman" w:cs="Times New Roman"/>
          <w:sz w:val="20"/>
          <w:szCs w:val="20"/>
          <w:highlight w:val="white"/>
        </w:rPr>
        <w:t>ensional</w:t>
      </w:r>
      <w:r w:rsidR="006A3EB1" w:rsidRPr="00296119">
        <w:rPr>
          <w:rFonts w:ascii="Times New Roman" w:eastAsia="Times New Roman" w:hAnsi="Times New Roman" w:cs="Times New Roman"/>
          <w:sz w:val="20"/>
          <w:szCs w:val="20"/>
          <w:highlight w:val="white"/>
        </w:rPr>
        <w:fldChar w:fldCharType="begin" w:fldLock="1"/>
      </w:r>
      <w:r w:rsidR="004C22C5" w:rsidRPr="00296119">
        <w:rPr>
          <w:rFonts w:ascii="Times New Roman" w:eastAsia="Times New Roman" w:hAnsi="Times New Roman" w:cs="Times New Roman"/>
          <w:sz w:val="20"/>
          <w:szCs w:val="20"/>
          <w:highlight w:val="white"/>
        </w:rPr>
        <w:instrText>ADDIN CSL_CITATION {"citationItems":[{"id":"ITEM-1","itemData":{"DOI":"10.22437/jief.v1i1.11511","abstract":"Penelitian ini bertujuan untuk menganalisa pengaruh Inflasi, Suku Bunga Bank Indonesia, dan Pertumbuhan ekonomi terhadap Pembiayaan Murabahah pada bank syariah di Indonesia. Data yang digunakan adalah data Time Series periode Januari 2013– Desember 2017, yang bersumber dari Statistik Perbankan Indonesia. Untuk menganalisis, penulis menggunakan metode Regresi Linier Berganda. Hasil penelitian ini menunjukkan bahwa variabel Inflasi, Suku Bunga Bank Indonesia, dan Pertumbuhan ekonomi berpengaruh signifikan secara parsial dan simultan terhadap Pembiayaan Murabahah. Dalam penelitian ini diketahui bahwa Inflasi berpengaruh signifikan positif terhadap Pembiayaan Murabahah. Sedangkan Suku Bunga Bank Indonesia, dan pertumbuhan ekonomi berpengaruh signifikan negatif terhadap Pembiayaan Murabahah.\r Kata Kunci : Pembiayaan Murabahah, Inflasi , Suku Bunga BI , Pertumbuhan Ekonomi\r  ","author":[{"dropping-particle":"","family":"Perdana","given":"Khori","non-dropping-particle":"","parse-names":false,"suffix":""},{"dropping-particle":"","family":"Hamzah","given":"Emilia","non-dropping-particle":"","parse-names":false,"suffix":""},{"dropping-particle":"","family":"Lubis","given":"Paulina","non-dropping-particle":"","parse-names":false,"suffix":""}],"container-title":"Najaha Iqtishod: Journal of Islamic Economic and Finance","id":"ITEM-1","issue":"1","issued":{"date-parts":[["2020"]]},"page":"1-9","title":"Pengaruh Tingkat Inflasi, Suku Bunga BI, dan Pertumbuhan Ekonomi Terhadap Pembiyaan Murabahah pada Bank Syariah di Indonesia ( Periode Januari 2013 – Desember 2017 )","type":"article-journal","volume":"1"},"uris":["http://www.mendeley.com/documents/?uuid=40bd847f-a1e4-4469-a6f9-f1a039aeaff9"]}],"mendeley":{"formattedCitation":"(Perdana et al., 2020)","plainTextFormattedCitation":"(Perdana et al., 2020)","previouslyFormattedCitation":"(Perdana et al., 2020)"},"properties":{"noteIndex":0},"schema":"https://github.com/citation-style-language/schema/raw/master/csl-citation.json"}</w:instrText>
      </w:r>
      <w:r w:rsidR="006A3EB1" w:rsidRPr="00296119">
        <w:rPr>
          <w:rFonts w:ascii="Times New Roman" w:eastAsia="Times New Roman" w:hAnsi="Times New Roman" w:cs="Times New Roman"/>
          <w:sz w:val="20"/>
          <w:szCs w:val="20"/>
          <w:highlight w:val="white"/>
        </w:rPr>
        <w:fldChar w:fldCharType="separate"/>
      </w:r>
      <w:r w:rsidR="006A3EB1" w:rsidRPr="00296119">
        <w:rPr>
          <w:rFonts w:ascii="Times New Roman" w:eastAsia="Times New Roman" w:hAnsi="Times New Roman" w:cs="Times New Roman"/>
          <w:noProof/>
          <w:sz w:val="20"/>
          <w:szCs w:val="20"/>
          <w:highlight w:val="white"/>
        </w:rPr>
        <w:t>(Perdana et al., 2020)</w:t>
      </w:r>
      <w:r w:rsidR="006A3EB1" w:rsidRPr="00296119">
        <w:rPr>
          <w:rFonts w:ascii="Times New Roman" w:eastAsia="Times New Roman" w:hAnsi="Times New Roman" w:cs="Times New Roman"/>
          <w:sz w:val="20"/>
          <w:szCs w:val="20"/>
          <w:highlight w:val="white"/>
        </w:rPr>
        <w:fldChar w:fldCharType="end"/>
      </w:r>
      <w:r w:rsidR="006A3EB1" w:rsidRPr="00296119">
        <w:rPr>
          <w:rFonts w:ascii="Times New Roman" w:eastAsia="Times New Roman" w:hAnsi="Times New Roman" w:cs="Times New Roman"/>
          <w:sz w:val="20"/>
          <w:szCs w:val="20"/>
          <w:highlight w:val="white"/>
        </w:rPr>
        <w:t>.</w:t>
      </w:r>
    </w:p>
    <w:p w14:paraId="00000071" w14:textId="478B6F14" w:rsidR="00596A2A" w:rsidRPr="00296119"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highlight w:val="white"/>
        </w:rPr>
      </w:pPr>
      <w:r w:rsidRPr="00296119">
        <w:rPr>
          <w:rFonts w:ascii="Times New Roman" w:eastAsia="Times New Roman" w:hAnsi="Times New Roman" w:cs="Times New Roman"/>
          <w:sz w:val="20"/>
          <w:szCs w:val="20"/>
          <w:highlight w:val="white"/>
        </w:rPr>
        <w:t xml:space="preserve">Pengaruh pembiayaan bank syariah terhadap pertumbuhan ekonomi juga merupankan hal yang sangat penting. Berbeda dengan pembiayaan bank konvensional, produk pembiayaan perbankan syariah lebih diprioritaskan untuk mendorong pergerakan sektor riil, khususnya produk kerja sama atau bagi hasil yaitu mudhârabah dan musyârakah. Pembiayaan kerja sama ini akan berdampak pada produktivitas masyarakat dalam menciptakan barang dan jasa serta meningkatkan pendapatan </w:t>
      </w:r>
      <w:r w:rsidRPr="00296119">
        <w:rPr>
          <w:rFonts w:ascii="Times New Roman" w:eastAsia="Times New Roman" w:hAnsi="Times New Roman" w:cs="Times New Roman"/>
          <w:sz w:val="20"/>
          <w:szCs w:val="20"/>
          <w:highlight w:val="white"/>
        </w:rPr>
        <w:lastRenderedPageBreak/>
        <w:t>masyarakat. Peningkatan produktivitas tersebut akan menyeimbangkan agregat ekonomi dan jika berkelanjutan akan berpengaruh terhadap peningkatan pendapatan nasional dan pertumbuhan ekonomi</w:t>
      </w:r>
      <w:r w:rsidR="004C22C5" w:rsidRPr="00296119">
        <w:rPr>
          <w:rFonts w:ascii="Times New Roman" w:eastAsia="Times New Roman" w:hAnsi="Times New Roman" w:cs="Times New Roman"/>
          <w:sz w:val="20"/>
          <w:szCs w:val="20"/>
          <w:highlight w:val="white"/>
        </w:rPr>
        <w:fldChar w:fldCharType="begin" w:fldLock="1"/>
      </w:r>
      <w:r w:rsidR="004C22C5" w:rsidRPr="00296119">
        <w:rPr>
          <w:rFonts w:ascii="Times New Roman" w:eastAsia="Times New Roman" w:hAnsi="Times New Roman" w:cs="Times New Roman"/>
          <w:sz w:val="20"/>
          <w:szCs w:val="20"/>
          <w:highlight w:val="white"/>
        </w:rPr>
        <w:instrText>ADDIN CSL_CITATION {"citationItems":[{"id":"ITEM-1","itemData":{"DOI":"10.15408/aiq.v5i2.2569","ISSN":"2087-135X","abstract":"The Influence of Islamic Monetary Instruments and Exports to Economic Growth In Indonesia. The aim from this research is to analyze the effect of total financing in Islamic banking (PEM), Sharia Certificate of Bank Indonesia (SBIS) and export contribution to economic growth in Indonesia. The method that used in this study is error correction model (ECM). The result showed that in short-run SBIS gave a negative impact to economic growth, otherwise the total financing and export contribution didn't have an impact to economic growth. In the long-run, total financing, SBIS, and export contribution have a negative impact to Indonesian economic growth.","author":[{"dropping-particle":"","family":"Asnuri","given":"Wulan","non-dropping-particle":"","parse-names":false,"suffix":""}],"container-title":"Al-Iqtishad: Journal of Islamic Economics","id":"ITEM-1","issue":"2","issued":{"date-parts":[["2015"]]},"title":"Pengaruh Instrumen Moneter Syariah dan Ekspor Terhadap Pertumbuhan Ekonomi di Indonesia","type":"article-journal","volume":"5"},"uris":["http://www.mendeley.com/documents/?uuid=bc3e0bcc-fe7b-4730-9940-2124d08fbe2e"]}],"mendeley":{"formattedCitation":"(Asnuri, 2015)","plainTextFormattedCitation":"(Asnuri, 2015)","previouslyFormattedCitation":"(Asnuri, 2015)"},"properties":{"noteIndex":0},"schema":"https://github.com/citation-style-language/schema/raw/master/csl-citation.json"}</w:instrText>
      </w:r>
      <w:r w:rsidR="004C22C5" w:rsidRPr="00296119">
        <w:rPr>
          <w:rFonts w:ascii="Times New Roman" w:eastAsia="Times New Roman" w:hAnsi="Times New Roman" w:cs="Times New Roman"/>
          <w:sz w:val="20"/>
          <w:szCs w:val="20"/>
          <w:highlight w:val="white"/>
        </w:rPr>
        <w:fldChar w:fldCharType="separate"/>
      </w:r>
      <w:r w:rsidR="004C22C5" w:rsidRPr="00296119">
        <w:rPr>
          <w:rFonts w:ascii="Times New Roman" w:eastAsia="Times New Roman" w:hAnsi="Times New Roman" w:cs="Times New Roman"/>
          <w:noProof/>
          <w:sz w:val="20"/>
          <w:szCs w:val="20"/>
          <w:highlight w:val="white"/>
        </w:rPr>
        <w:t>(Asnuri, 2015)</w:t>
      </w:r>
      <w:r w:rsidR="004C22C5" w:rsidRPr="00296119">
        <w:rPr>
          <w:rFonts w:ascii="Times New Roman" w:eastAsia="Times New Roman" w:hAnsi="Times New Roman" w:cs="Times New Roman"/>
          <w:sz w:val="20"/>
          <w:szCs w:val="20"/>
          <w:highlight w:val="white"/>
        </w:rPr>
        <w:fldChar w:fldCharType="end"/>
      </w:r>
      <w:r w:rsidR="004C22C5" w:rsidRPr="00296119">
        <w:rPr>
          <w:rFonts w:ascii="Times New Roman" w:eastAsia="Times New Roman" w:hAnsi="Times New Roman" w:cs="Times New Roman"/>
          <w:sz w:val="20"/>
          <w:szCs w:val="20"/>
          <w:highlight w:val="white"/>
        </w:rPr>
        <w:t>.</w:t>
      </w:r>
    </w:p>
    <w:p w14:paraId="31325A79" w14:textId="04BF9D11" w:rsidR="004C22C5" w:rsidRPr="00296119" w:rsidRDefault="005B7815"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color w:val="000000"/>
          <w:sz w:val="20"/>
          <w:szCs w:val="20"/>
        </w:rPr>
      </w:pPr>
      <w:r w:rsidRPr="00296119">
        <w:rPr>
          <w:rFonts w:ascii="Times New Roman" w:eastAsia="Times New Roman" w:hAnsi="Times New Roman" w:cs="Times New Roman"/>
          <w:bCs/>
          <w:color w:val="000000"/>
          <w:sz w:val="20"/>
          <w:szCs w:val="20"/>
        </w:rPr>
        <w:t>Kebijakan moneter syariah memiliki dampak yang signifikan terhadap pertumbuhan ekonomi dengan beberapa aspek utama yang perlu diperhatikan. Pertama, dalam hal stabilitas finansial, kebijakan ini cenderung mendorong stabilitas melalui mekanisme bagi hasil dan larangan terhadap aktivitas spekulatif. Hal ini berbeda dengan sistem konvensional yang lebih rentan terhadap krisis keuangan akibat praktik spekulatif yang berlebihan. Kedua, inklusi keuangan menjadi fokus utama dalam sistem perbankan syariah. Dengan menawarkan alternatif pembiayaan yang sesuai dengan prinsip syariah, seperti mudharabah dan musyarakah, sistem ini memperluas akses keuangan kepada kelompok yang sebelumnya tidak terlayani oleh perbankan konvensional. Dengan demikian, masyarakat yang lebih luas dapat mengakses pendanaan untuk usaha produktif mereka, mendukung pertumbuhan ekonomi secara inklusif</w:t>
      </w:r>
      <w:r w:rsidR="00C843C3" w:rsidRPr="00296119">
        <w:rPr>
          <w:rFonts w:ascii="Times New Roman" w:eastAsia="Times New Roman" w:hAnsi="Times New Roman" w:cs="Times New Roman"/>
          <w:bCs/>
          <w:color w:val="000000"/>
          <w:sz w:val="20"/>
          <w:szCs w:val="20"/>
        </w:rPr>
        <w:fldChar w:fldCharType="begin" w:fldLock="1"/>
      </w:r>
      <w:r w:rsidR="00C843C3" w:rsidRPr="00296119">
        <w:rPr>
          <w:rFonts w:ascii="Times New Roman" w:eastAsia="Times New Roman" w:hAnsi="Times New Roman" w:cs="Times New Roman"/>
          <w:bCs/>
          <w:color w:val="000000"/>
          <w:sz w:val="20"/>
          <w:szCs w:val="20"/>
        </w:rPr>
        <w:instrText>ADDIN CSL_CITATION {"citationItems":[{"id":"ITEM-1","itemData":{"DOI":"10.55606/cemerlang.v2i4.624","ISSN":"2962-3596","abstract":"Sistem ekonomi Islam dinilai mampu memberikan kontribusi bagi perekonomian global, termasuk di Indonesia. Artikel ini bertujuan untuk menganalisis kebijakan moneter di Indonesia dalam perspektif ekonomi Islam. Dalam penelitian ini peneliti mengamati instrumen kebijakan moneter yaitu operasi pasar terbuka (open market operation) dimana secara umum, sasaran moneter ditujukan untuk mendorong pertumbuhan ekonomi dan stabilisasi inflasi. Metodologi yang digunakan adalah pendekatan studi kepustakaan terhadap tiga jurnal utama dan beberapa artikel jurnal nasional dan internasional yang terkait dengan moneter syariah. Temuan utama dari penelitian ini adalah perkembangan kebijakan moneter berbasis syariah di Indonesia dinilai memiliki peran penting dalam perkembangan ekonomi di Indonesia.","author":[{"dropping-particle":"","family":"Rahmad Riho Zeen","given":"","non-dropping-particle":"","parse-names":false,"suffix":""},{"dropping-particle":"","family":"Ihsan Alfi Lubis","given":"","non-dropping-particle":"","parse-names":false,"suffix":""},{"dropping-particle":"","family":"Fitra Ilham Ramadhan","given":"","non-dropping-particle":"","parse-names":false,"suffix":""},{"dropping-particle":"","family":"Hilman Hanif","given":"","non-dropping-particle":"","parse-names":false,"suffix":""},{"dropping-particle":"","family":"Khairina tambunan","given":"","non-dropping-particle":"","parse-names":false,"suffix":""}],"container-title":"CEMERLANG : Jurnal Manajemen dan Ekonomi Bisnis","id":"ITEM-1","issue":"4","issued":{"date-parts":[["2022"]]},"page":"259-269","title":"Analisis Pengaruh Kebijakan Moneter Syariah Terhadap Perkembangan Ekonomi di Indonesia","type":"article-journal","volume":"2"},"uris":["http://www.mendeley.com/documents/?uuid=c0f12ea5-99d2-4909-891b-a2c32da83b2f"]}],"mendeley":{"formattedCitation":"(Rahmad Riho Zeen et al., 2022)","plainTextFormattedCitation":"(Rahmad Riho Zeen et al., 2022)","previouslyFormattedCitation":"(Rahmad Riho Zeen et al., 2022)"},"properties":{"noteIndex":0},"schema":"https://github.com/citation-style-language/schema/raw/master/csl-citation.json"}</w:instrText>
      </w:r>
      <w:r w:rsidR="00C843C3" w:rsidRPr="00296119">
        <w:rPr>
          <w:rFonts w:ascii="Times New Roman" w:eastAsia="Times New Roman" w:hAnsi="Times New Roman" w:cs="Times New Roman"/>
          <w:bCs/>
          <w:color w:val="000000"/>
          <w:sz w:val="20"/>
          <w:szCs w:val="20"/>
        </w:rPr>
        <w:fldChar w:fldCharType="separate"/>
      </w:r>
      <w:r w:rsidR="00C843C3" w:rsidRPr="00296119">
        <w:rPr>
          <w:rFonts w:ascii="Times New Roman" w:eastAsia="Times New Roman" w:hAnsi="Times New Roman" w:cs="Times New Roman"/>
          <w:bCs/>
          <w:noProof/>
          <w:color w:val="000000"/>
          <w:sz w:val="20"/>
          <w:szCs w:val="20"/>
        </w:rPr>
        <w:t>(Rahmad Riho Zeen et al., 2022)</w:t>
      </w:r>
      <w:r w:rsidR="00C843C3" w:rsidRPr="00296119">
        <w:rPr>
          <w:rFonts w:ascii="Times New Roman" w:eastAsia="Times New Roman" w:hAnsi="Times New Roman" w:cs="Times New Roman"/>
          <w:bCs/>
          <w:color w:val="000000"/>
          <w:sz w:val="20"/>
          <w:szCs w:val="20"/>
        </w:rPr>
        <w:fldChar w:fldCharType="end"/>
      </w:r>
      <w:r w:rsidR="00C843C3" w:rsidRPr="00296119">
        <w:rPr>
          <w:rFonts w:ascii="Times New Roman" w:eastAsia="Times New Roman" w:hAnsi="Times New Roman" w:cs="Times New Roman"/>
          <w:bCs/>
          <w:color w:val="000000"/>
          <w:sz w:val="20"/>
          <w:szCs w:val="20"/>
        </w:rPr>
        <w:t>.</w:t>
      </w:r>
    </w:p>
    <w:p w14:paraId="7CCDE6A2" w14:textId="5D6744AC" w:rsidR="005B7815" w:rsidRPr="00296119" w:rsidRDefault="005B7815"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296119">
        <w:rPr>
          <w:rFonts w:ascii="Times New Roman" w:eastAsia="Times New Roman" w:hAnsi="Times New Roman" w:cs="Times New Roman"/>
          <w:bCs/>
          <w:color w:val="000000"/>
          <w:sz w:val="20"/>
          <w:szCs w:val="20"/>
        </w:rPr>
        <w:t>Secara keseluruhan, kebijakan moneter syariah tidak hanya mengutamakan kestabilan finansial melalui prinsip-prinsip yang mengurangi risiko spekulatif, tetapi juga mempromosikan inklusi keuangan dan pertumbuhan investasi produktif. Dalam konteks ini, sistem ini memainkan peran penting dalam memperkuat fondasi ekonomi yang lebih stabil dan inklusif, yang pada akhirnya dapat mendukung pertumbuhan ekonomi yang berkelanjutan dan merata</w:t>
      </w:r>
      <w:r w:rsidR="004C22C5" w:rsidRPr="00296119">
        <w:rPr>
          <w:rFonts w:ascii="Times New Roman" w:eastAsia="Times New Roman" w:hAnsi="Times New Roman" w:cs="Times New Roman"/>
          <w:bCs/>
          <w:color w:val="000000"/>
          <w:sz w:val="20"/>
          <w:szCs w:val="20"/>
        </w:rPr>
        <w:fldChar w:fldCharType="begin" w:fldLock="1"/>
      </w:r>
      <w:r w:rsidR="00C843C3" w:rsidRPr="00296119">
        <w:rPr>
          <w:rFonts w:ascii="Times New Roman" w:eastAsia="Times New Roman" w:hAnsi="Times New Roman" w:cs="Times New Roman"/>
          <w:bCs/>
          <w:color w:val="000000"/>
          <w:sz w:val="20"/>
          <w:szCs w:val="20"/>
        </w:rPr>
        <w:instrText>ADDIN CSL_CITATION {"citationItems":[{"id":"ITEM-1","itemData":{"author":[{"dropping-particle":"","family":"Dainy","given":"Octaviana","non-dropping-particle":"","parse-names":false,"suffix":""},{"dropping-particle":"","family":"Hasanah","given":"Ismatul","non-dropping-particle":"","parse-names":false,"suffix":""},{"dropping-particle":"","family":"Sopia","given":"Siti","non-dropping-particle":"","parse-names":false,"suffix":""},{"dropping-particle":"","family":"Sari","given":"Rasidah Novita","non-dropping-particle":"","parse-names":false,"suffix":""}],"id":"ITEM-1","issued":{"date-parts":[["2025"]]},"title":"Pengaruh Implementasi Kebijakan Moneter Syariah Terhadap Pertumbuhan Ekonomi di Indonesia Periode 2020-2023","type":"article-journal"},"uris":["http://www.mendeley.com/documents/?uuid=ff2c6da6-0a26-4f0e-88bd-e19dbfaff241"]}],"mendeley":{"formattedCitation":"(Dainy et al., 2025)","plainTextFormattedCitation":"(Dainy et al., 2025)","previouslyFormattedCitation":"(Dainy et al., 2025)"},"properties":{"noteIndex":0},"schema":"https://github.com/citation-style-language/schema/raw/master/csl-citation.json"}</w:instrText>
      </w:r>
      <w:r w:rsidR="004C22C5" w:rsidRPr="00296119">
        <w:rPr>
          <w:rFonts w:ascii="Times New Roman" w:eastAsia="Times New Roman" w:hAnsi="Times New Roman" w:cs="Times New Roman"/>
          <w:bCs/>
          <w:color w:val="000000"/>
          <w:sz w:val="20"/>
          <w:szCs w:val="20"/>
        </w:rPr>
        <w:fldChar w:fldCharType="separate"/>
      </w:r>
      <w:r w:rsidR="004C22C5" w:rsidRPr="00296119">
        <w:rPr>
          <w:rFonts w:ascii="Times New Roman" w:eastAsia="Times New Roman" w:hAnsi="Times New Roman" w:cs="Times New Roman"/>
          <w:bCs/>
          <w:noProof/>
          <w:color w:val="000000"/>
          <w:sz w:val="20"/>
          <w:szCs w:val="20"/>
        </w:rPr>
        <w:t>(Dainy et al., 2025)</w:t>
      </w:r>
      <w:r w:rsidR="004C22C5" w:rsidRPr="00296119">
        <w:rPr>
          <w:rFonts w:ascii="Times New Roman" w:eastAsia="Times New Roman" w:hAnsi="Times New Roman" w:cs="Times New Roman"/>
          <w:bCs/>
          <w:color w:val="000000"/>
          <w:sz w:val="20"/>
          <w:szCs w:val="20"/>
        </w:rPr>
        <w:fldChar w:fldCharType="end"/>
      </w:r>
      <w:r w:rsidR="004C22C5" w:rsidRPr="00296119">
        <w:rPr>
          <w:rFonts w:ascii="Times New Roman" w:eastAsia="Times New Roman" w:hAnsi="Times New Roman" w:cs="Times New Roman"/>
          <w:bCs/>
          <w:color w:val="000000"/>
          <w:sz w:val="20"/>
          <w:szCs w:val="20"/>
        </w:rPr>
        <w:t>.</w:t>
      </w:r>
    </w:p>
    <w:p w14:paraId="42698B25" w14:textId="77777777" w:rsidR="003F03BA" w:rsidRPr="00296119" w:rsidRDefault="003F03BA" w:rsidP="00712E6F">
      <w:pPr>
        <w:pBdr>
          <w:top w:val="nil"/>
          <w:left w:val="nil"/>
          <w:bottom w:val="nil"/>
          <w:right w:val="nil"/>
          <w:between w:val="nil"/>
        </w:pBdr>
        <w:spacing w:after="0" w:line="240" w:lineRule="auto"/>
        <w:ind w:left="1080" w:firstLine="360"/>
        <w:jc w:val="both"/>
        <w:rPr>
          <w:rFonts w:ascii="Times New Roman" w:eastAsia="Times New Roman" w:hAnsi="Times New Roman" w:cs="Times New Roman"/>
          <w:sz w:val="20"/>
          <w:szCs w:val="20"/>
        </w:rPr>
      </w:pPr>
    </w:p>
    <w:p w14:paraId="2BE68542" w14:textId="77777777" w:rsidR="00ED0697" w:rsidRDefault="004F181F" w:rsidP="00712E6F">
      <w:pPr>
        <w:pStyle w:val="ListParagraph"/>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ED0697">
        <w:rPr>
          <w:rFonts w:ascii="Times New Roman" w:eastAsia="Times New Roman" w:hAnsi="Times New Roman" w:cs="Times New Roman"/>
          <w:b/>
          <w:color w:val="000000"/>
          <w:sz w:val="24"/>
          <w:szCs w:val="24"/>
        </w:rPr>
        <w:t>METODE PENELITIAN</w:t>
      </w:r>
    </w:p>
    <w:p w14:paraId="178A01CD" w14:textId="77777777" w:rsidR="00ED0697"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 xml:space="preserve">Penelitian ini menggunakan metode deskriptif kualitatif dengan jenis penelitian berupa studi kepustakaan (library research), yaitu mengumpulkan informasi ataupun karya tulis ilmiah yang berhubungan dengan literature review yang bersifat kepustakaan. Penelitian ini dilakukan dengan menggabungkan antara penelitian deskriptif dan kualitatif. Penelitian ini juga menyajikan data tanpa adanya manipulasi serta perlakuan tambahan lainnya. Sumber utama penelitian ini adalah karya tulis ilmiah sebelumnya yang terkait erat dengan literature review, seperti buku metode penelitian, artikel jurnal, artikel internet, dan tulisan lainnya yang masih terkait. </w:t>
      </w:r>
    </w:p>
    <w:p w14:paraId="027502C6" w14:textId="77777777" w:rsidR="00ED0697"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Terkait dengan metode ini, I Made Winarta menjelaskan bahwa metode analisis deskriptif kualitatif adalah metode yang berisi proses analisis, penggambaran serta ringkasan atas berbagai kondisi yang diambil dari kumpulan informasi yang berasal dari hasil wawancara ataupun pengamatan langsung di lapangan terhadap masalah yang sedang diteliti(Ridwan et al., 2021).</w:t>
      </w:r>
    </w:p>
    <w:p w14:paraId="6A991DAB" w14:textId="3C896ABB" w:rsidR="005B7815" w:rsidRPr="00412505" w:rsidRDefault="005B7815"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 xml:space="preserve">Sedangkan menurut Moh. Nazir (2014) studi kepustakaan adalah Teknik pengumpulan data dengan mengadakan studi penelaahan terhadap buku-buku, literatur, catatan, dan laporan yang ada hubungannya dengan penelitian ini. Selanjutnya Moh. Nazir menambahkan bahwa studi kepustakaan merupakan Langkah yang penting, Dimana setelah seorang peneliti menetapkan topik penelitian, kemudian melakukan kajian yang berkaitan dengan teori topik penelitian. Dalam pencairan teori, peneliti akan mengumpulkan informasi sebanyak-banyaknya dari kepustakaan yang berhubungan. Sumber kepustakaan dapat diperoleh dari buku, jurnal, hasil-hasil penelitian, dan sumber-sumber lainnya yang sesuai.  </w:t>
      </w:r>
    </w:p>
    <w:p w14:paraId="0FAA3486" w14:textId="490E43BB" w:rsidR="00953F43" w:rsidRPr="00412505" w:rsidRDefault="00953F43"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0"/>
          <w:szCs w:val="20"/>
        </w:rPr>
      </w:pPr>
      <w:r w:rsidRPr="00412505">
        <w:rPr>
          <w:rFonts w:ascii="Times New Roman" w:eastAsia="Times New Roman" w:hAnsi="Times New Roman" w:cs="Times New Roman"/>
          <w:color w:val="000000"/>
          <w:sz w:val="20"/>
          <w:szCs w:val="20"/>
        </w:rPr>
        <w:t>Alur penelitian ini, yaitu menentukan permasalahan, me</w:t>
      </w:r>
      <w:r w:rsidR="00241793" w:rsidRPr="00412505">
        <w:rPr>
          <w:rFonts w:ascii="Times New Roman" w:eastAsia="Times New Roman" w:hAnsi="Times New Roman" w:cs="Times New Roman"/>
          <w:color w:val="000000"/>
          <w:sz w:val="20"/>
          <w:szCs w:val="20"/>
        </w:rPr>
        <w:t>ngumpulkan data pada buku dan artikel ilmiah yang terpublikasi secara online</w:t>
      </w:r>
      <w:r w:rsidR="005B7815" w:rsidRPr="00412505">
        <w:rPr>
          <w:rFonts w:ascii="Times New Roman" w:eastAsia="Times New Roman" w:hAnsi="Times New Roman" w:cs="Times New Roman"/>
          <w:color w:val="000000"/>
          <w:sz w:val="20"/>
          <w:szCs w:val="20"/>
        </w:rPr>
        <w:t xml:space="preserve"> dengan metode </w:t>
      </w:r>
      <w:r w:rsidR="00241793" w:rsidRPr="00412505">
        <w:rPr>
          <w:rFonts w:ascii="Times New Roman" w:eastAsia="Times New Roman" w:hAnsi="Times New Roman" w:cs="Times New Roman"/>
          <w:color w:val="000000"/>
          <w:sz w:val="20"/>
          <w:szCs w:val="20"/>
        </w:rPr>
        <w:t>penelitian k</w:t>
      </w:r>
      <w:r w:rsidR="005B7815" w:rsidRPr="00412505">
        <w:rPr>
          <w:rFonts w:ascii="Times New Roman" w:eastAsia="Times New Roman" w:hAnsi="Times New Roman" w:cs="Times New Roman"/>
          <w:color w:val="000000"/>
          <w:sz w:val="20"/>
          <w:szCs w:val="20"/>
        </w:rPr>
        <w:t>ua</w:t>
      </w:r>
      <w:r w:rsidR="00241793" w:rsidRPr="00412505">
        <w:rPr>
          <w:rFonts w:ascii="Times New Roman" w:eastAsia="Times New Roman" w:hAnsi="Times New Roman" w:cs="Times New Roman"/>
          <w:color w:val="000000"/>
          <w:sz w:val="20"/>
          <w:szCs w:val="20"/>
        </w:rPr>
        <w:t xml:space="preserve">ntitatif </w:t>
      </w:r>
      <w:r w:rsidR="005B7815" w:rsidRPr="00412505">
        <w:rPr>
          <w:rFonts w:ascii="Times New Roman" w:eastAsia="Times New Roman" w:hAnsi="Times New Roman" w:cs="Times New Roman"/>
          <w:color w:val="000000"/>
          <w:sz w:val="20"/>
          <w:szCs w:val="20"/>
        </w:rPr>
        <w:t xml:space="preserve">maupun </w:t>
      </w:r>
      <w:r w:rsidR="00241793" w:rsidRPr="00412505">
        <w:rPr>
          <w:rFonts w:ascii="Times New Roman" w:eastAsia="Times New Roman" w:hAnsi="Times New Roman" w:cs="Times New Roman"/>
          <w:color w:val="000000"/>
          <w:sz w:val="20"/>
          <w:szCs w:val="20"/>
        </w:rPr>
        <w:t>kualitatif. Tekni analisa data menggunakan reduksi data yang berupa mengambil teori yang dianggap penting dari sebuah buku dan artikel yang berkaitan dengan tema</w:t>
      </w:r>
      <w:r w:rsidR="005B7815" w:rsidRPr="00412505">
        <w:rPr>
          <w:rFonts w:ascii="Times New Roman" w:eastAsia="Times New Roman" w:hAnsi="Times New Roman" w:cs="Times New Roman"/>
          <w:color w:val="000000"/>
          <w:sz w:val="20"/>
          <w:szCs w:val="20"/>
        </w:rPr>
        <w:t xml:space="preserve"> penelitian</w:t>
      </w:r>
      <w:r w:rsidR="00241793" w:rsidRPr="00412505">
        <w:rPr>
          <w:rFonts w:ascii="Times New Roman" w:eastAsia="Times New Roman" w:hAnsi="Times New Roman" w:cs="Times New Roman"/>
          <w:color w:val="000000"/>
          <w:sz w:val="20"/>
          <w:szCs w:val="20"/>
        </w:rPr>
        <w:t xml:space="preserve"> ini, selanjutnya penyajian data dan penarikan kesimpulan dari data-data yang telah terkumpul dan dianggap relevan dengan tema </w:t>
      </w:r>
      <w:r w:rsidR="005B7815" w:rsidRPr="00412505">
        <w:rPr>
          <w:rFonts w:ascii="Times New Roman" w:eastAsia="Times New Roman" w:hAnsi="Times New Roman" w:cs="Times New Roman"/>
          <w:color w:val="000000"/>
          <w:sz w:val="20"/>
          <w:szCs w:val="20"/>
        </w:rPr>
        <w:t>penelitian</w:t>
      </w:r>
      <w:r w:rsidR="00241793" w:rsidRPr="00412505">
        <w:rPr>
          <w:rFonts w:ascii="Times New Roman" w:eastAsia="Times New Roman" w:hAnsi="Times New Roman" w:cs="Times New Roman"/>
          <w:color w:val="000000"/>
          <w:sz w:val="20"/>
          <w:szCs w:val="20"/>
        </w:rPr>
        <w:t xml:space="preserve"> ini dan dapat dipertanggungjawabkan keabsahannya.</w:t>
      </w:r>
    </w:p>
    <w:p w14:paraId="00000079" w14:textId="0EEE3F3F"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sz w:val="24"/>
          <w:szCs w:val="24"/>
        </w:rPr>
      </w:pPr>
      <w:r w:rsidRPr="00412505">
        <w:rPr>
          <w:rFonts w:ascii="Times New Roman" w:eastAsia="Times New Roman" w:hAnsi="Times New Roman" w:cs="Times New Roman"/>
          <w:color w:val="000000"/>
          <w:sz w:val="20"/>
          <w:szCs w:val="20"/>
        </w:rPr>
        <w:t>Penelitian ini bertujuan agar para pembaca dapat lebih memahami tentang hubungan kebijakan moneter Islam dengan sistem perekonomian indonesia. Diharapkan kedepannya para pembaca memahami bagaimana hubungan kebijakan moneter yang berlandaskan prinsip-prinsip Islam dapat mempengaruhi dan berkontribusi pada perkembangan sistem perekonomian Indonesia</w:t>
      </w:r>
      <w:r w:rsidRPr="00412505">
        <w:rPr>
          <w:rFonts w:ascii="Times New Roman" w:eastAsia="Times New Roman" w:hAnsi="Times New Roman" w:cs="Times New Roman"/>
          <w:color w:val="000000"/>
          <w:sz w:val="24"/>
          <w:szCs w:val="24"/>
        </w:rPr>
        <w:t>.</w:t>
      </w:r>
    </w:p>
    <w:p w14:paraId="0000007A" w14:textId="77777777" w:rsidR="00596A2A" w:rsidRDefault="00596A2A" w:rsidP="00712E6F">
      <w:pPr>
        <w:pBdr>
          <w:top w:val="nil"/>
          <w:left w:val="nil"/>
          <w:bottom w:val="nil"/>
          <w:right w:val="nil"/>
          <w:between w:val="nil"/>
        </w:pBdr>
        <w:spacing w:after="0" w:line="240" w:lineRule="auto"/>
        <w:ind w:left="1080" w:firstLine="360"/>
        <w:jc w:val="both"/>
        <w:rPr>
          <w:rFonts w:ascii="Times New Roman" w:eastAsia="Times New Roman" w:hAnsi="Times New Roman" w:cs="Times New Roman"/>
          <w:color w:val="000000"/>
          <w:sz w:val="24"/>
          <w:szCs w:val="24"/>
        </w:rPr>
      </w:pPr>
    </w:p>
    <w:p w14:paraId="74ADC29A" w14:textId="77777777" w:rsidR="00ED0697" w:rsidRDefault="004F181F" w:rsidP="00712E6F">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HASIL DAN PEMBAHASAN</w:t>
      </w:r>
    </w:p>
    <w:p w14:paraId="0000007C" w14:textId="322BE6CC" w:rsidR="00596A2A" w:rsidRPr="0013743F" w:rsidRDefault="004F181F" w:rsidP="00712E6F">
      <w:pPr>
        <w:pStyle w:val="ListParagraph"/>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bCs/>
          <w:i/>
          <w:iCs/>
          <w:color w:val="000000"/>
          <w:sz w:val="24"/>
          <w:szCs w:val="24"/>
        </w:rPr>
      </w:pPr>
      <w:r w:rsidRPr="0013743F">
        <w:rPr>
          <w:rFonts w:ascii="Times New Roman" w:eastAsia="Times New Roman" w:hAnsi="Times New Roman" w:cs="Times New Roman"/>
          <w:bCs/>
          <w:i/>
          <w:iCs/>
          <w:sz w:val="24"/>
          <w:szCs w:val="24"/>
        </w:rPr>
        <w:t>Mekanisme Kebijakan Moneter Islam</w:t>
      </w:r>
    </w:p>
    <w:p w14:paraId="0000007E" w14:textId="1116C42C"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 xml:space="preserve">Mekanisme kebijakan moneter islam di Indonesia dimulai pada tahun 1992 dengan berdirinya Bank Muamalat Indonesia (BMI).  Pada tahun 2014 </w:t>
      </w:r>
      <w:r w:rsidRPr="00412505">
        <w:rPr>
          <w:rFonts w:ascii="Times New Roman" w:eastAsia="Times New Roman" w:hAnsi="Times New Roman" w:cs="Times New Roman"/>
          <w:color w:val="000000"/>
          <w:sz w:val="20"/>
          <w:szCs w:val="20"/>
        </w:rPr>
        <w:t>Bank Indonesia mengeluarkan PBI No. 16 Tahun 2014 tentang Operasi Moneter Syariah (OMS). OMS dimaksud adalah bentuk pelaksanaan kebijakan moneter melalui kegiatan OPT dan penyediaan standing facilities berdasarkan prinsip syariah. Maksud dari standing facilities syariah adalah fasilitas yang disediakan oleh BI kepada bank dalam rangka OMS melalui mekanisme lelang atau non-lelang</w:t>
      </w:r>
    </w:p>
    <w:p w14:paraId="0000007F" w14:textId="77777777"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2015, Bank Indonesia juga menginisiasi instrumen Pasar Uang Antar Bank Syariah yakni transaksi repo syariah. Melalui pengaturan Repo Syariah ini, maka jenis transaksi yang dapat dilakukan oleh bank syariah bertambah, melengkapi instrumen syariah yang sudah tersedia sebelumnya, yaitu Sertifikat Investasi Mudharabah Antarbank (SIMA) dan Sertifikat Perdagangan Komoditi Berdasarkan Prinsip Syariah (SiKA).</w:t>
      </w:r>
    </w:p>
    <w:p w14:paraId="576BF41C" w14:textId="77777777" w:rsid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2016, Bank Indonesia mengoptimalkan penggunaan instrumen moneter sebagai upaya untuk menjaga kecukupan likuiditas perbankan melalui optimalisasi penggunaan instrumen SDBI, SBI/S, dan RR SBN secara lebih fleksibel. Pelaksanaan strategi OM tersebut terefleksikan dari perubahan komposisi instrumen OM yakni meningkatnya posisi penempatan dana bank pada instrumen jangka pendek antara lain Deposit Facility (DF), Fasilitas Simpanan Bank Indonesia Syariah (Fasbis) dan Sertifikat Bank Indonesia Syariah (SBIS).</w:t>
      </w:r>
    </w:p>
    <w:p w14:paraId="00000081" w14:textId="6AF1C052"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2017, Bank Indonesia telah menyusun peraturan mengenai pinjaman likuiditas jangka pendek bagi bank umum konvensional (PLJP) dan pengaturan tentang pembiayaan likuditas jangka pendek syariah bagi bank umum syariah (PLJP Syariah).</w:t>
      </w:r>
    </w:p>
    <w:p w14:paraId="00000082" w14:textId="77777777"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 xml:space="preserve">Berdasasarkan laporan tugas dan wewenang Bank Indonesia pada tahun 2018, Bank Indonesia melakukan penyempurnaan ketentuan terkait PLM dan PLM syariah dengan meningkatkan besaran persentase penggunaan surat berharga yang bisa </w:t>
      </w:r>
      <w:r w:rsidRPr="00412505">
        <w:rPr>
          <w:rFonts w:ascii="Times New Roman" w:eastAsia="Times New Roman" w:hAnsi="Times New Roman" w:cs="Times New Roman"/>
          <w:sz w:val="20"/>
          <w:szCs w:val="20"/>
        </w:rPr>
        <w:lastRenderedPageBreak/>
        <w:t>digunakan dalam transaksi repo Bank Indonesia dan mengakomodir SukBI sebagai surat berharga yang dapat dipergunakan dalam pemenuhan PLM dan PLM Syariah untuk memastikan terjaganya stabilitas sistem keuangan.</w:t>
      </w:r>
    </w:p>
    <w:p w14:paraId="00000083" w14:textId="77777777"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2019, Bank Indonesia melakukan pendalaman pasar keuangan syariah untuk meningkatkan manajemen likuiditas syariah sehingga dapat mendukung pembiayaan syariah. Strategi ini dilakukan dengan peningkatan variasi instrumen keuangan syariah, minat investor dan volume transaksi serta penguatan regulasi dan infrastruktur. Hal ini salah satunya terwujud melalui Sukuk Bank Indonesia (SUKBI) yang merupakan instrumen moneter syariah yang dapat diperdagangkan.</w:t>
      </w:r>
    </w:p>
    <w:p w14:paraId="00000084" w14:textId="77777777"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2020, Bank Indonesia menindaklanjuti kebijakan nasional dalam UU No. 2 Tahun 2020 dimaksud mencakup kebijakan keuangan negara dan kebijakan stabilitas sistem keuangan. Kewenangan Bank Indonesia terkait kebijakan keuangan negara dalam UU No. 2 Tahun 2020 mencakup pembelian SBN berjangka panjang di pasar perdana dari Pemerintah. Terkait kebijakan stabilitas sistem keuangan, kewenangan mencakup penyempurnaan Pinjaman Likuiditas Jangka Pendek/Pembiayaan Likuditas Jangka Pendek Syariah (PLJP/PLJPS), Pinjaman Likuditas Khusus (PLK), pembelian/repo SBN dengan LPS, pengaturan lalu lintas devisa, dan akses pendanaan kepada korporasi/swasta dengan cara repo Surat Utang Negara/Surat Berharga Syariah Negara (SUN/SBSN) melalui perbankan.</w:t>
      </w:r>
    </w:p>
    <w:p w14:paraId="00000085" w14:textId="77777777" w:rsidR="00596A2A"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2021, Bank Indonesia memperluas penggunaan instrumen Sukuk Bank Indonesia (SukBI) pada tenor 1 minggu sampai dengan 12 bulan yang akan mulai berlaku 16 April 2021 dari sebelumnya hanya sampai dengan tenor 3 bulan, untuk memperkuat strategi operasi moneter syariah.</w:t>
      </w:r>
    </w:p>
    <w:p w14:paraId="42ACCC3E" w14:textId="77777777" w:rsid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 xml:space="preserve">Berdasasarkan laporan tugas dan wewenang Bank Indonesia pada tahun 2022, Bank Indonesia melakukan pengembangan instrumen antara lain ditempuh dengan menerbitkan Sukuk BI (SukBI) Inklusif untuk mendukung pengembangan instrumen moneter dan pasar uang syariah. Dan juga mengembangkan instrumen swap lindung nilai syariah bank kepada Bank Indonesia guna mendukung manajemen pengelolaan nilai tukar perbankan syariah untuk mendukung pengelolaan moneter yang terintegrasi dengan pengembangan pasar uang. </w:t>
      </w:r>
    </w:p>
    <w:p w14:paraId="3C19572A" w14:textId="77777777" w:rsid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2023, Bank Indonesia terus melakukan penguatan kebijakan moneter melalui penerbitan Sekuritas Valas Bank Indonesia dan Sukuk Valas Bank Indonesia yang masing-masing diluncurkan pada 21 November 2023 dan 29 November 2023 untuk menjaga stabilitas nilai tukar rupiah.</w:t>
      </w:r>
    </w:p>
    <w:p w14:paraId="7C285513" w14:textId="6718C3B8" w:rsidR="0001136B" w:rsidRPr="00412505"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412505">
        <w:rPr>
          <w:rFonts w:ascii="Times New Roman" w:eastAsia="Times New Roman" w:hAnsi="Times New Roman" w:cs="Times New Roman"/>
          <w:sz w:val="20"/>
          <w:szCs w:val="20"/>
        </w:rPr>
        <w:t>Berdasasarkan laporan tugas dan wewenang Bank Indonesia pada tahun 2024, Bank Indonesia mengoptimalkan Sekuritas Rupiah Bank Indonesia (SRBI), Sekuritas Valas Bank Indonesia (SVBI), dan Sukuk Valas Bank Indonesia (SUVBI) sebagai instrumen moneter </w:t>
      </w:r>
      <w:r w:rsidRPr="00412505">
        <w:rPr>
          <w:rFonts w:ascii="Times New Roman" w:eastAsia="Times New Roman" w:hAnsi="Times New Roman" w:cs="Times New Roman"/>
          <w:i/>
          <w:sz w:val="20"/>
          <w:szCs w:val="20"/>
        </w:rPr>
        <w:t xml:space="preserve">pro market </w:t>
      </w:r>
      <w:r w:rsidRPr="00412505">
        <w:rPr>
          <w:rFonts w:ascii="Times New Roman" w:eastAsia="Times New Roman" w:hAnsi="Times New Roman" w:cs="Times New Roman"/>
          <w:sz w:val="20"/>
          <w:szCs w:val="20"/>
        </w:rPr>
        <w:t xml:space="preserve">untuk memperkuat stabilitas nilai tukar rupiah. </w:t>
      </w:r>
    </w:p>
    <w:p w14:paraId="1A8E629A" w14:textId="77777777" w:rsidR="00BB0434" w:rsidRPr="00BB0434" w:rsidRDefault="00BB0434" w:rsidP="00712E6F">
      <w:pPr>
        <w:pBdr>
          <w:top w:val="nil"/>
          <w:left w:val="nil"/>
          <w:bottom w:val="nil"/>
          <w:right w:val="nil"/>
          <w:between w:val="nil"/>
        </w:pBdr>
        <w:spacing w:after="0" w:line="240" w:lineRule="auto"/>
        <w:ind w:firstLine="198"/>
        <w:jc w:val="both"/>
        <w:rPr>
          <w:rFonts w:ascii="Times New Roman" w:eastAsia="Times New Roman" w:hAnsi="Times New Roman" w:cs="Times New Roman"/>
          <w:sz w:val="24"/>
          <w:szCs w:val="24"/>
        </w:rPr>
      </w:pPr>
    </w:p>
    <w:p w14:paraId="36338106" w14:textId="5722DEE0" w:rsidR="00A137EF" w:rsidRPr="009E3AF1" w:rsidRDefault="008213EB" w:rsidP="00712E6F">
      <w:pPr>
        <w:pStyle w:val="ListParagraph"/>
        <w:numPr>
          <w:ilvl w:val="1"/>
          <w:numId w:val="14"/>
        </w:numPr>
        <w:pBdr>
          <w:top w:val="nil"/>
          <w:left w:val="nil"/>
          <w:bottom w:val="nil"/>
          <w:right w:val="nil"/>
          <w:between w:val="nil"/>
        </w:pBdr>
        <w:spacing w:after="0" w:line="240" w:lineRule="auto"/>
        <w:jc w:val="both"/>
        <w:rPr>
          <w:rFonts w:ascii="Times New Roman" w:eastAsia="Times New Roman" w:hAnsi="Times New Roman" w:cs="Times New Roman"/>
          <w:bCs/>
          <w:i/>
          <w:iCs/>
          <w:sz w:val="24"/>
          <w:szCs w:val="24"/>
        </w:rPr>
      </w:pPr>
      <w:r w:rsidRPr="009E3AF1">
        <w:rPr>
          <w:rFonts w:ascii="Times New Roman" w:eastAsia="Times New Roman" w:hAnsi="Times New Roman" w:cs="Times New Roman"/>
          <w:bCs/>
          <w:i/>
          <w:iCs/>
          <w:sz w:val="24"/>
          <w:szCs w:val="24"/>
        </w:rPr>
        <w:t xml:space="preserve">Pengaruh </w:t>
      </w:r>
      <w:r w:rsidR="00B702BF" w:rsidRPr="009E3AF1">
        <w:rPr>
          <w:rFonts w:ascii="Times New Roman" w:eastAsia="Times New Roman" w:hAnsi="Times New Roman" w:cs="Times New Roman"/>
          <w:bCs/>
          <w:i/>
          <w:iCs/>
          <w:sz w:val="24"/>
          <w:szCs w:val="24"/>
        </w:rPr>
        <w:t xml:space="preserve">instrument </w:t>
      </w:r>
      <w:r w:rsidRPr="009E3AF1">
        <w:rPr>
          <w:rFonts w:ascii="Times New Roman" w:eastAsia="Times New Roman" w:hAnsi="Times New Roman" w:cs="Times New Roman"/>
          <w:bCs/>
          <w:i/>
          <w:iCs/>
          <w:sz w:val="24"/>
          <w:szCs w:val="24"/>
        </w:rPr>
        <w:t>moneter islam terhadap perekonomian Indonesia</w:t>
      </w:r>
    </w:p>
    <w:p w14:paraId="4A203E2F" w14:textId="6CFFD1CE" w:rsidR="00A137EF" w:rsidRPr="00412505" w:rsidRDefault="00A137E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 xml:space="preserve">Berdasarkan penelitian yang dilakukan oleh Eva Misfah Bayuni (2014) </w:t>
      </w:r>
      <w:r w:rsidR="00B702BF" w:rsidRPr="00412505">
        <w:rPr>
          <w:rFonts w:ascii="Times New Roman" w:eastAsia="Times New Roman" w:hAnsi="Times New Roman" w:cs="Times New Roman"/>
          <w:bCs/>
          <w:sz w:val="20"/>
          <w:szCs w:val="20"/>
        </w:rPr>
        <w:t>i</w:t>
      </w:r>
      <w:r w:rsidRPr="00412505">
        <w:rPr>
          <w:rFonts w:ascii="Times New Roman" w:eastAsia="Times New Roman" w:hAnsi="Times New Roman" w:cs="Times New Roman"/>
          <w:bCs/>
          <w:sz w:val="20"/>
          <w:szCs w:val="20"/>
        </w:rPr>
        <w:t xml:space="preserve">nstrumen-instrumen moneter syariah yang diterapkan di Indonesia yaitu Sertifikat Bank Indonesia Syariah (SBIS), Reverse Repo Surat Berharga Syariah Negara, Fasilitas Simpanan Bank Indonesia Syariah (FASBIS), Giro Wajib Minimum (GWM) pada Bank Syariah dan PUAS atau Pasar Uang antar Bank Syariah. </w:t>
      </w:r>
      <w:r w:rsidR="00B702BF" w:rsidRPr="00412505">
        <w:rPr>
          <w:rFonts w:ascii="Times New Roman" w:eastAsia="Times New Roman" w:hAnsi="Times New Roman" w:cs="Times New Roman"/>
          <w:bCs/>
          <w:sz w:val="20"/>
          <w:szCs w:val="20"/>
        </w:rPr>
        <w:t>I</w:t>
      </w:r>
      <w:r w:rsidRPr="00412505">
        <w:rPr>
          <w:rFonts w:ascii="Times New Roman" w:eastAsia="Times New Roman" w:hAnsi="Times New Roman" w:cs="Times New Roman"/>
          <w:bCs/>
          <w:sz w:val="20"/>
          <w:szCs w:val="20"/>
        </w:rPr>
        <w:t xml:space="preserve">nstrumen-instrumen moneter syariah </w:t>
      </w:r>
      <w:r w:rsidR="00B702BF" w:rsidRPr="00412505">
        <w:rPr>
          <w:rFonts w:ascii="Times New Roman" w:eastAsia="Times New Roman" w:hAnsi="Times New Roman" w:cs="Times New Roman"/>
          <w:bCs/>
          <w:sz w:val="20"/>
          <w:szCs w:val="20"/>
        </w:rPr>
        <w:t xml:space="preserve">tersebut memiliki kontribusi yang kecil terhadap pengendalian </w:t>
      </w:r>
      <w:r w:rsidRPr="00412505">
        <w:rPr>
          <w:rFonts w:ascii="Times New Roman" w:eastAsia="Times New Roman" w:hAnsi="Times New Roman" w:cs="Times New Roman"/>
          <w:bCs/>
          <w:sz w:val="20"/>
          <w:szCs w:val="20"/>
        </w:rPr>
        <w:t>inflasi di Indones</w:t>
      </w:r>
      <w:r w:rsidR="00B702BF" w:rsidRPr="00412505">
        <w:rPr>
          <w:rFonts w:ascii="Times New Roman" w:eastAsia="Times New Roman" w:hAnsi="Times New Roman" w:cs="Times New Roman"/>
          <w:bCs/>
          <w:sz w:val="20"/>
          <w:szCs w:val="20"/>
        </w:rPr>
        <w:t>ia</w:t>
      </w:r>
      <w:r w:rsidRPr="00412505">
        <w:rPr>
          <w:rFonts w:ascii="Times New Roman" w:eastAsia="Times New Roman" w:hAnsi="Times New Roman" w:cs="Times New Roman"/>
          <w:bCs/>
          <w:sz w:val="20"/>
          <w:szCs w:val="20"/>
        </w:rPr>
        <w:t xml:space="preserve">. Hal ini </w:t>
      </w:r>
      <w:r w:rsidR="00B702BF" w:rsidRPr="00412505">
        <w:rPr>
          <w:rFonts w:ascii="Times New Roman" w:eastAsia="Times New Roman" w:hAnsi="Times New Roman" w:cs="Times New Roman"/>
          <w:bCs/>
          <w:sz w:val="20"/>
          <w:szCs w:val="20"/>
        </w:rPr>
        <w:t xml:space="preserve">karena </w:t>
      </w:r>
      <w:r w:rsidR="003E1D6D" w:rsidRPr="00412505">
        <w:rPr>
          <w:rFonts w:ascii="Times New Roman" w:eastAsia="Times New Roman" w:hAnsi="Times New Roman" w:cs="Times New Roman"/>
          <w:bCs/>
          <w:sz w:val="20"/>
          <w:szCs w:val="20"/>
        </w:rPr>
        <w:t>instrumen</w:t>
      </w:r>
      <w:r w:rsidR="00B702BF" w:rsidRPr="00412505">
        <w:rPr>
          <w:rFonts w:ascii="Times New Roman" w:eastAsia="Times New Roman" w:hAnsi="Times New Roman" w:cs="Times New Roman"/>
          <w:bCs/>
          <w:sz w:val="20"/>
          <w:szCs w:val="20"/>
        </w:rPr>
        <w:t xml:space="preserve"> moneter syariah masih </w:t>
      </w:r>
      <w:r w:rsidR="003E1D6D" w:rsidRPr="00412505">
        <w:rPr>
          <w:rFonts w:ascii="Times New Roman" w:eastAsia="Times New Roman" w:hAnsi="Times New Roman" w:cs="Times New Roman"/>
          <w:bCs/>
          <w:sz w:val="20"/>
          <w:szCs w:val="20"/>
        </w:rPr>
        <w:t xml:space="preserve">menjadi pelengkap dan masih </w:t>
      </w:r>
      <w:r w:rsidR="00B702BF" w:rsidRPr="00412505">
        <w:rPr>
          <w:rFonts w:ascii="Times New Roman" w:eastAsia="Times New Roman" w:hAnsi="Times New Roman" w:cs="Times New Roman"/>
          <w:bCs/>
          <w:sz w:val="20"/>
          <w:szCs w:val="20"/>
        </w:rPr>
        <w:t>bergantung pada instrumen moneter konvensional</w:t>
      </w:r>
      <w:r w:rsidR="003E1D6D" w:rsidRPr="00412505">
        <w:rPr>
          <w:rFonts w:ascii="Times New Roman" w:eastAsia="Times New Roman" w:hAnsi="Times New Roman" w:cs="Times New Roman"/>
          <w:bCs/>
          <w:sz w:val="20"/>
          <w:szCs w:val="20"/>
        </w:rPr>
        <w:t xml:space="preserve"> dalam mengendalikan inflasi di Indonesia</w:t>
      </w:r>
      <w:r w:rsidR="00103D0D" w:rsidRPr="00412505">
        <w:rPr>
          <w:rFonts w:ascii="Times New Roman" w:eastAsia="Times New Roman" w:hAnsi="Times New Roman" w:cs="Times New Roman"/>
          <w:bCs/>
          <w:sz w:val="20"/>
          <w:szCs w:val="20"/>
        </w:rPr>
        <w:fldChar w:fldCharType="begin" w:fldLock="1"/>
      </w:r>
      <w:r w:rsidR="00103D0D" w:rsidRPr="00412505">
        <w:rPr>
          <w:rFonts w:ascii="Times New Roman" w:eastAsia="Times New Roman" w:hAnsi="Times New Roman" w:cs="Times New Roman"/>
          <w:bCs/>
          <w:sz w:val="20"/>
          <w:szCs w:val="20"/>
        </w:rPr>
        <w:instrText>ADDIN CSL_CITATION {"citationItems":[{"id":"ITEM-1","itemData":{"DOI":"10.29313/amwaluna.v2i1.3314","ISSN":"2540-8399","abstract":"Bank Indonesia menggunakan instrumen-instrumen moneter yang akan mencapai sasaran operasional yang berdampak pada sasaran utama kebijakan moneter di Indonesia yaitu inflasi.Sistem moneter ganda yang diterapkan di Indonesia, membuat instrumen-instrumen moneter konvensional berjalan beriringan dengan instrumen moneter syariah. Tujuan pada penelitian ini menjelaskan instrumen moneter menurut syariah di Indonesia dan mengetahui besaran kontribusi instrumen moneter dalam syariah terhadap pengendalian inflasi di Indonesia. Metode penelitian yang digunakan pada penelitian ini yaitu metode regresi simultan dengan menggunakan software Eviews 9. Hasil penelitian yang didapatkan; Pengendalian Inflasi di Indonesia menurut Syariah yaitu dengan menggunakan intrumen-instrumen moneter yang sesuai dengan industri perbankan syariah di Indonesia. Kontribusi instrumen-instrumen moneter syariah terhadap pengendalian inflasi di Indonesia masih sangat kecil. Hal ini berdasarkan hasil pengolahan pada penelitian ini bahwa instrumen moneter syariah hanya beberapa model yang berkontribusi. Nilai kontribusi yang dihasilkan pun sangat kecil dengan skala penilaian R Squared berkisar sangat lemah dan atau lemah.","author":[{"dropping-particle":"","family":"Bayuni","given":"Eva Misfah","non-dropping-particle":"","parse-names":false,"suffix":""},{"dropping-particle":"","family":"Srisusilawati","given":"Popon","non-dropping-particle":"","parse-names":false,"suffix":""}],"container-title":"Amwaluna: Jurnal Ekonomi dan Keuangan Syariah","id":"ITEM-1","issue":"1","issued":{"date-parts":[["2018"]]},"page":"18-38","title":"Kontribusi Instrumen Moneter Syariah Terhadap Pengendalian Inflasi Di Indonesia","type":"article-journal","volume":"2"},"uris":["http://www.mendeley.com/documents/?uuid=d617e146-3440-4079-b347-3ed20b05bce5"]}],"mendeley":{"formattedCitation":"(Bayuni &amp; Srisusilawati, 2018)","plainTextFormattedCitation":"(Bayuni &amp; Srisusilawati, 2018)","previouslyFormattedCitation":"(Bayuni &amp; Srisusilawati, 2018)"},"properties":{"noteIndex":0},"schema":"https://github.com/citation-style-language/schema/raw/master/csl-citation.json"}</w:instrText>
      </w:r>
      <w:r w:rsidR="00103D0D" w:rsidRPr="00412505">
        <w:rPr>
          <w:rFonts w:ascii="Times New Roman" w:eastAsia="Times New Roman" w:hAnsi="Times New Roman" w:cs="Times New Roman"/>
          <w:bCs/>
          <w:sz w:val="20"/>
          <w:szCs w:val="20"/>
        </w:rPr>
        <w:fldChar w:fldCharType="separate"/>
      </w:r>
      <w:r w:rsidR="00103D0D" w:rsidRPr="00412505">
        <w:rPr>
          <w:rFonts w:ascii="Times New Roman" w:eastAsia="Times New Roman" w:hAnsi="Times New Roman" w:cs="Times New Roman"/>
          <w:bCs/>
          <w:noProof/>
          <w:sz w:val="20"/>
          <w:szCs w:val="20"/>
        </w:rPr>
        <w:t>(Bayuni &amp; Srisusilawati, 2018)</w:t>
      </w:r>
      <w:r w:rsidR="00103D0D" w:rsidRPr="00412505">
        <w:rPr>
          <w:rFonts w:ascii="Times New Roman" w:eastAsia="Times New Roman" w:hAnsi="Times New Roman" w:cs="Times New Roman"/>
          <w:bCs/>
          <w:sz w:val="20"/>
          <w:szCs w:val="20"/>
        </w:rPr>
        <w:fldChar w:fldCharType="end"/>
      </w:r>
      <w:r w:rsidR="00103D0D" w:rsidRPr="00412505">
        <w:rPr>
          <w:rFonts w:ascii="Times New Roman" w:eastAsia="Times New Roman" w:hAnsi="Times New Roman" w:cs="Times New Roman"/>
          <w:bCs/>
          <w:sz w:val="20"/>
          <w:szCs w:val="20"/>
        </w:rPr>
        <w:t>.</w:t>
      </w:r>
    </w:p>
    <w:p w14:paraId="426DACE6" w14:textId="3C778529" w:rsidR="003E1D6D" w:rsidRPr="00412505" w:rsidRDefault="003E1D6D"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Berdasarkan penelitian yang dilakukan Maulidina Raseuky</w:t>
      </w:r>
      <w:r w:rsidR="00C02F5B" w:rsidRPr="00412505">
        <w:rPr>
          <w:rFonts w:ascii="Times New Roman" w:eastAsia="Times New Roman" w:hAnsi="Times New Roman" w:cs="Times New Roman"/>
          <w:bCs/>
          <w:sz w:val="20"/>
          <w:szCs w:val="20"/>
        </w:rPr>
        <w:t>(201</w:t>
      </w:r>
      <w:r w:rsidR="00103D0D" w:rsidRPr="00412505">
        <w:rPr>
          <w:rFonts w:ascii="Times New Roman" w:eastAsia="Times New Roman" w:hAnsi="Times New Roman" w:cs="Times New Roman"/>
          <w:bCs/>
          <w:sz w:val="20"/>
          <w:szCs w:val="20"/>
        </w:rPr>
        <w:t>9</w:t>
      </w:r>
      <w:r w:rsidR="00C02F5B" w:rsidRPr="00412505">
        <w:rPr>
          <w:rFonts w:ascii="Times New Roman" w:eastAsia="Times New Roman" w:hAnsi="Times New Roman" w:cs="Times New Roman"/>
          <w:bCs/>
          <w:sz w:val="20"/>
          <w:szCs w:val="20"/>
        </w:rPr>
        <w:t xml:space="preserve">) dengan periode penelitian </w:t>
      </w:r>
      <w:r w:rsidRPr="00412505">
        <w:rPr>
          <w:rFonts w:ascii="Times New Roman" w:eastAsia="Times New Roman" w:hAnsi="Times New Roman" w:cs="Times New Roman"/>
          <w:bCs/>
          <w:sz w:val="20"/>
          <w:szCs w:val="20"/>
        </w:rPr>
        <w:t>2016-2018 SBIS tidak memiliki pengaruh yang signifikan terhadap PDB, hal ini dikarenakan pasar konvensional lebih banyak/besar digunakan dari pada pasar perbankan syariah. Hal inilah yang di duga menjadi faktor sedikitnya kontribusi dari variabel SBIS terhadap PDB. FASBIS memiliki pengaruh negatif terhadap PDB, dimana kenaikan jumlah FASBIS akan mengurangi jumlah PDB, hal ini sesuai dengan fungsi FASBIS itu sendiri sebagai alat absorpsi untuk mengurangi surplus likuiditas. Dan FASBIS memiliki kontribusi besar terhadap pertumbuhan ekonomi sebesar 45,4% dari 100%</w:t>
      </w:r>
      <w:r w:rsidR="0034338F" w:rsidRPr="00412505">
        <w:rPr>
          <w:rFonts w:ascii="Times New Roman" w:eastAsia="Times New Roman" w:hAnsi="Times New Roman" w:cs="Times New Roman"/>
          <w:bCs/>
          <w:sz w:val="20"/>
          <w:szCs w:val="20"/>
        </w:rPr>
        <w:fldChar w:fldCharType="begin" w:fldLock="1"/>
      </w:r>
      <w:r w:rsidR="0034338F" w:rsidRPr="00412505">
        <w:rPr>
          <w:rFonts w:ascii="Times New Roman" w:eastAsia="Times New Roman" w:hAnsi="Times New Roman" w:cs="Times New Roman"/>
          <w:bCs/>
          <w:sz w:val="20"/>
          <w:szCs w:val="20"/>
        </w:rPr>
        <w:instrText>ADDIN CSL_CITATION {"citationItems":[{"id":"ITEM-1","itemData":{"author":[{"dropping-particle":"","family":"Raseuky","given":"Maulidina","non-dropping-particle":"","parse-names":false,"suffix":""}],"container-title":"Doctoral dissertation, Universitas Islam Negeri Sumatera Utara Medan","id":"ITEM-1","issued":{"date-parts":[["2019"]]},"title":"Pengaruh Instrumen Operasi Moneter Syariah Terhadap Pertumbuhan Ekonomi Di Indonesia Periode 2014-2018","type":"article-journal"},"uris":["http://www.mendeley.com/documents/?uuid=e7a046df-0da6-4654-9a90-4b5daaa4405a"]}],"mendeley":{"formattedCitation":"(Raseuky, 2019)","plainTextFormattedCitation":"(Raseuky, 2019)","previouslyFormattedCitation":"(Raseuky, 2019)"},"properties":{"noteIndex":0},"schema":"https://github.com/citation-style-language/schema/raw/master/csl-citation.json"}</w:instrText>
      </w:r>
      <w:r w:rsidR="0034338F" w:rsidRPr="00412505">
        <w:rPr>
          <w:rFonts w:ascii="Times New Roman" w:eastAsia="Times New Roman" w:hAnsi="Times New Roman" w:cs="Times New Roman"/>
          <w:bCs/>
          <w:sz w:val="20"/>
          <w:szCs w:val="20"/>
        </w:rPr>
        <w:fldChar w:fldCharType="separate"/>
      </w:r>
      <w:r w:rsidR="0034338F" w:rsidRPr="00412505">
        <w:rPr>
          <w:rFonts w:ascii="Times New Roman" w:eastAsia="Times New Roman" w:hAnsi="Times New Roman" w:cs="Times New Roman"/>
          <w:bCs/>
          <w:noProof/>
          <w:sz w:val="20"/>
          <w:szCs w:val="20"/>
        </w:rPr>
        <w:t>(Raseuky, 2019)</w:t>
      </w:r>
      <w:r w:rsidR="0034338F" w:rsidRPr="00412505">
        <w:rPr>
          <w:rFonts w:ascii="Times New Roman" w:eastAsia="Times New Roman" w:hAnsi="Times New Roman" w:cs="Times New Roman"/>
          <w:bCs/>
          <w:sz w:val="20"/>
          <w:szCs w:val="20"/>
        </w:rPr>
        <w:fldChar w:fldCharType="end"/>
      </w:r>
    </w:p>
    <w:p w14:paraId="64642CF3" w14:textId="2636A754" w:rsidR="008904EE" w:rsidRPr="00412505" w:rsidRDefault="003E1D6D"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 xml:space="preserve">Hal ini juga didukung dengan </w:t>
      </w:r>
      <w:r w:rsidR="00C25E21" w:rsidRPr="00412505">
        <w:rPr>
          <w:rFonts w:ascii="Times New Roman" w:eastAsia="Times New Roman" w:hAnsi="Times New Roman" w:cs="Times New Roman"/>
          <w:bCs/>
          <w:sz w:val="20"/>
          <w:szCs w:val="20"/>
        </w:rPr>
        <w:t>penelitian yang dilakukan oleh Try Roedyhantoro (2018) mendapatkan hasil bahwa SBIS dan Reverse Repo Surat Berharga Syariah Negara</w:t>
      </w:r>
      <w:r w:rsidR="00C02F5B" w:rsidRPr="00412505">
        <w:rPr>
          <w:rFonts w:ascii="Times New Roman" w:eastAsia="Times New Roman" w:hAnsi="Times New Roman" w:cs="Times New Roman"/>
          <w:bCs/>
          <w:sz w:val="20"/>
          <w:szCs w:val="20"/>
        </w:rPr>
        <w:t xml:space="preserve">, </w:t>
      </w:r>
      <w:r w:rsidR="00C25E21" w:rsidRPr="00412505">
        <w:rPr>
          <w:rFonts w:ascii="Times New Roman" w:eastAsia="Times New Roman" w:hAnsi="Times New Roman" w:cs="Times New Roman"/>
          <w:bCs/>
          <w:sz w:val="20"/>
          <w:szCs w:val="20"/>
        </w:rPr>
        <w:t>tidak memiliki pengaruh yang signifikan terhadap PD</w:t>
      </w:r>
      <w:r w:rsidRPr="00412505">
        <w:rPr>
          <w:rFonts w:ascii="Times New Roman" w:eastAsia="Times New Roman" w:hAnsi="Times New Roman" w:cs="Times New Roman"/>
          <w:bCs/>
          <w:sz w:val="20"/>
          <w:szCs w:val="20"/>
        </w:rPr>
        <w:t>B pada saat itu</w:t>
      </w:r>
    </w:p>
    <w:p w14:paraId="440BD2A9" w14:textId="77777777" w:rsidR="00712E6F" w:rsidRDefault="00BB0434" w:rsidP="00712E6F">
      <w:pPr>
        <w:pBdr>
          <w:top w:val="nil"/>
          <w:left w:val="nil"/>
          <w:bottom w:val="nil"/>
          <w:right w:val="nil"/>
          <w:between w:val="nil"/>
        </w:pBdr>
        <w:spacing w:after="0" w:line="240" w:lineRule="auto"/>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Berdasarkan penelitian yang dilakukan Tyo  Suripto (202</w:t>
      </w:r>
      <w:r w:rsidR="008904EE" w:rsidRPr="00412505">
        <w:rPr>
          <w:rFonts w:ascii="Times New Roman" w:eastAsia="Times New Roman" w:hAnsi="Times New Roman" w:cs="Times New Roman"/>
          <w:bCs/>
          <w:sz w:val="20"/>
          <w:szCs w:val="20"/>
        </w:rPr>
        <w:t>2</w:t>
      </w:r>
      <w:r w:rsidRPr="00412505">
        <w:rPr>
          <w:rFonts w:ascii="Times New Roman" w:eastAsia="Times New Roman" w:hAnsi="Times New Roman" w:cs="Times New Roman"/>
          <w:bCs/>
          <w:sz w:val="20"/>
          <w:szCs w:val="20"/>
        </w:rPr>
        <w:t xml:space="preserve">) bahwa </w:t>
      </w:r>
      <w:r w:rsidR="008213EB" w:rsidRPr="00412505">
        <w:rPr>
          <w:rFonts w:ascii="Times New Roman" w:eastAsia="Times New Roman" w:hAnsi="Times New Roman" w:cs="Times New Roman"/>
          <w:bCs/>
          <w:sz w:val="20"/>
          <w:szCs w:val="20"/>
        </w:rPr>
        <w:t xml:space="preserve">SBIS tidak memiliki pengaruh positif dan signifikan terhadap Inflasi hal ini disebabkan karena naik turunnya inflasi yang bersifat sementara dan yang hanya disebabkan oleh situasi dan kondisi keadaan tertentu seperti bulan puasa, lebaran dan kenaikan Indeks Harga Konsumen. </w:t>
      </w:r>
      <w:r w:rsidR="00C02F5B" w:rsidRPr="00412505">
        <w:rPr>
          <w:rFonts w:ascii="Times New Roman" w:eastAsia="Times New Roman" w:hAnsi="Times New Roman" w:cs="Times New Roman"/>
          <w:bCs/>
          <w:sz w:val="20"/>
          <w:szCs w:val="20"/>
        </w:rPr>
        <w:t>Dan SBIS juga tidak memiliki pengaruh positif dan signifikan terhadap Pertumbuhan Ekonomi ini disebabkan karena jumlah dana investasi pada instrumen SBIS yang berhasil dihimpun belum dapat dimanfaatkan dengan baik dan terlalu sedikit jika dibandingkan dengan SBI.</w:t>
      </w:r>
    </w:p>
    <w:p w14:paraId="495677AA" w14:textId="77777777" w:rsidR="00712E6F" w:rsidRDefault="00C02F5B"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 xml:space="preserve">Sama dengan SBIS, </w:t>
      </w:r>
      <w:r w:rsidR="008213EB" w:rsidRPr="00412505">
        <w:rPr>
          <w:rFonts w:ascii="Times New Roman" w:eastAsia="Times New Roman" w:hAnsi="Times New Roman" w:cs="Times New Roman"/>
          <w:bCs/>
          <w:sz w:val="20"/>
          <w:szCs w:val="20"/>
        </w:rPr>
        <w:t>FASBIS</w:t>
      </w:r>
      <w:r w:rsidRPr="00412505">
        <w:rPr>
          <w:rFonts w:ascii="Times New Roman" w:eastAsia="Times New Roman" w:hAnsi="Times New Roman" w:cs="Times New Roman"/>
          <w:bCs/>
          <w:sz w:val="20"/>
          <w:szCs w:val="20"/>
        </w:rPr>
        <w:t xml:space="preserve"> juga</w:t>
      </w:r>
      <w:r w:rsidR="008213EB" w:rsidRPr="00412505">
        <w:rPr>
          <w:rFonts w:ascii="Times New Roman" w:eastAsia="Times New Roman" w:hAnsi="Times New Roman" w:cs="Times New Roman"/>
          <w:bCs/>
          <w:sz w:val="20"/>
          <w:szCs w:val="20"/>
        </w:rPr>
        <w:t xml:space="preserve"> tidak memiliki pengaruh positif dan signifikan terhadap Inflasi hal ini dikarenakan </w:t>
      </w:r>
      <w:r w:rsidR="005F183F" w:rsidRPr="00412505">
        <w:rPr>
          <w:rFonts w:ascii="Times New Roman" w:eastAsia="Times New Roman" w:hAnsi="Times New Roman" w:cs="Times New Roman"/>
          <w:bCs/>
          <w:sz w:val="20"/>
          <w:szCs w:val="20"/>
        </w:rPr>
        <w:t>k</w:t>
      </w:r>
      <w:r w:rsidR="008213EB" w:rsidRPr="00412505">
        <w:rPr>
          <w:rFonts w:ascii="Times New Roman" w:eastAsia="Times New Roman" w:hAnsi="Times New Roman" w:cs="Times New Roman"/>
          <w:bCs/>
          <w:sz w:val="20"/>
          <w:szCs w:val="20"/>
        </w:rPr>
        <w:t xml:space="preserve">ontribusi instrumen-instrumen moneter syariah terhadap pengendalian inflasi di Indonesia masih sangat kecil. </w:t>
      </w:r>
      <w:r w:rsidRPr="00412505">
        <w:rPr>
          <w:rFonts w:ascii="Times New Roman" w:eastAsia="Times New Roman" w:hAnsi="Times New Roman" w:cs="Times New Roman"/>
          <w:bCs/>
          <w:sz w:val="20"/>
          <w:szCs w:val="20"/>
        </w:rPr>
        <w:t xml:space="preserve">Dan </w:t>
      </w:r>
      <w:r w:rsidR="008213EB" w:rsidRPr="00412505">
        <w:rPr>
          <w:rFonts w:ascii="Times New Roman" w:eastAsia="Times New Roman" w:hAnsi="Times New Roman" w:cs="Times New Roman"/>
          <w:bCs/>
          <w:sz w:val="20"/>
          <w:szCs w:val="20"/>
        </w:rPr>
        <w:t xml:space="preserve">FASBIS </w:t>
      </w:r>
      <w:r w:rsidR="005F183F" w:rsidRPr="00412505">
        <w:rPr>
          <w:rFonts w:ascii="Times New Roman" w:eastAsia="Times New Roman" w:hAnsi="Times New Roman" w:cs="Times New Roman"/>
          <w:bCs/>
          <w:sz w:val="20"/>
          <w:szCs w:val="20"/>
        </w:rPr>
        <w:t xml:space="preserve">juga </w:t>
      </w:r>
      <w:r w:rsidR="008213EB" w:rsidRPr="00412505">
        <w:rPr>
          <w:rFonts w:ascii="Times New Roman" w:eastAsia="Times New Roman" w:hAnsi="Times New Roman" w:cs="Times New Roman"/>
          <w:bCs/>
          <w:sz w:val="20"/>
          <w:szCs w:val="20"/>
        </w:rPr>
        <w:t>tidak memiliki pengaruh positif dan signifikan terhadap Pertumbuhan Ekonomi</w:t>
      </w:r>
      <w:r w:rsidR="005F183F" w:rsidRPr="00412505">
        <w:rPr>
          <w:rFonts w:ascii="Times New Roman" w:eastAsia="Times New Roman" w:hAnsi="Times New Roman" w:cs="Times New Roman"/>
          <w:bCs/>
          <w:sz w:val="20"/>
          <w:szCs w:val="20"/>
        </w:rPr>
        <w:t>, karena</w:t>
      </w:r>
      <w:r w:rsidR="008213EB" w:rsidRPr="00412505">
        <w:rPr>
          <w:rFonts w:ascii="Times New Roman" w:eastAsia="Times New Roman" w:hAnsi="Times New Roman" w:cs="Times New Roman"/>
          <w:bCs/>
          <w:sz w:val="20"/>
          <w:szCs w:val="20"/>
        </w:rPr>
        <w:t xml:space="preserve"> </w:t>
      </w:r>
      <w:r w:rsidR="005F183F" w:rsidRPr="00412505">
        <w:rPr>
          <w:rFonts w:ascii="Times New Roman" w:eastAsia="Times New Roman" w:hAnsi="Times New Roman" w:cs="Times New Roman"/>
          <w:bCs/>
          <w:sz w:val="20"/>
          <w:szCs w:val="20"/>
        </w:rPr>
        <w:t xml:space="preserve">jika </w:t>
      </w:r>
      <w:r w:rsidR="008213EB" w:rsidRPr="00412505">
        <w:rPr>
          <w:rFonts w:ascii="Times New Roman" w:eastAsia="Times New Roman" w:hAnsi="Times New Roman" w:cs="Times New Roman"/>
          <w:bCs/>
          <w:sz w:val="20"/>
          <w:szCs w:val="20"/>
        </w:rPr>
        <w:t>banyak</w:t>
      </w:r>
      <w:r w:rsidR="005F183F" w:rsidRPr="00412505">
        <w:rPr>
          <w:rFonts w:ascii="Times New Roman" w:eastAsia="Times New Roman" w:hAnsi="Times New Roman" w:cs="Times New Roman"/>
          <w:bCs/>
          <w:sz w:val="20"/>
          <w:szCs w:val="20"/>
        </w:rPr>
        <w:t xml:space="preserve"> </w:t>
      </w:r>
      <w:r w:rsidR="008213EB" w:rsidRPr="00412505">
        <w:rPr>
          <w:rFonts w:ascii="Times New Roman" w:eastAsia="Times New Roman" w:hAnsi="Times New Roman" w:cs="Times New Roman"/>
          <w:bCs/>
          <w:sz w:val="20"/>
          <w:szCs w:val="20"/>
        </w:rPr>
        <w:t>yang menempatkan dananya pada FASBIS berarti mengindikasikan bahwa adanya ketidakstabilan harga yang akan mengganggu pergerakan laju pertumbuhan PDB sehingga perlunya sistem tarik ulur yang dilakukan oleh Bank Indonesia melalui kebijakan moneter untuk menjaga kestabilan perekonomian Indonesia.</w:t>
      </w:r>
      <w:r w:rsidR="005F183F" w:rsidRPr="00412505">
        <w:rPr>
          <w:rFonts w:ascii="Times New Roman" w:eastAsia="Times New Roman" w:hAnsi="Times New Roman" w:cs="Times New Roman"/>
          <w:bCs/>
          <w:sz w:val="20"/>
          <w:szCs w:val="20"/>
        </w:rPr>
        <w:t xml:space="preserve"> </w:t>
      </w:r>
    </w:p>
    <w:p w14:paraId="51C5E43C" w14:textId="77777777" w:rsidR="00712E6F" w:rsidRDefault="0093119A"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 xml:space="preserve">Sedikit berbeda dengan SBIS dan FASBIS, PUAS memiliki pengaruh positif tetapi tidak signifikan terhadap Inflasi hal ini karena transaksi PUAS lebih sedikit dibandingkan dengan PUAB, sehingga dalam mempengaruhi inflasi PUAS kurang signifikan. </w:t>
      </w:r>
      <w:r w:rsidR="005F183F" w:rsidRPr="00412505">
        <w:rPr>
          <w:rFonts w:ascii="Times New Roman" w:eastAsia="Times New Roman" w:hAnsi="Times New Roman" w:cs="Times New Roman"/>
          <w:bCs/>
          <w:sz w:val="20"/>
          <w:szCs w:val="20"/>
        </w:rPr>
        <w:t xml:space="preserve">Sedangkan </w:t>
      </w:r>
      <w:r w:rsidR="008213EB" w:rsidRPr="00412505">
        <w:rPr>
          <w:rFonts w:ascii="Times New Roman" w:eastAsia="Times New Roman" w:hAnsi="Times New Roman" w:cs="Times New Roman"/>
          <w:bCs/>
          <w:sz w:val="20"/>
          <w:szCs w:val="20"/>
        </w:rPr>
        <w:t xml:space="preserve"> PUAS memiliki pengaruh positif dan signifikan terhadap Pertumbuhan Ekonomi</w:t>
      </w:r>
      <w:r w:rsidR="008904EE" w:rsidRPr="00412505">
        <w:rPr>
          <w:rFonts w:ascii="Times New Roman" w:eastAsia="Times New Roman" w:hAnsi="Times New Roman" w:cs="Times New Roman"/>
          <w:bCs/>
          <w:sz w:val="20"/>
          <w:szCs w:val="20"/>
        </w:rPr>
        <w:t>,</w:t>
      </w:r>
      <w:r w:rsidR="008213EB" w:rsidRPr="00412505">
        <w:rPr>
          <w:rFonts w:ascii="Times New Roman" w:eastAsia="Times New Roman" w:hAnsi="Times New Roman" w:cs="Times New Roman"/>
          <w:bCs/>
          <w:sz w:val="20"/>
          <w:szCs w:val="20"/>
        </w:rPr>
        <w:t xml:space="preserve"> </w:t>
      </w:r>
      <w:r w:rsidR="008904EE" w:rsidRPr="00412505">
        <w:rPr>
          <w:rFonts w:ascii="Times New Roman" w:eastAsia="Times New Roman" w:hAnsi="Times New Roman" w:cs="Times New Roman"/>
          <w:bCs/>
          <w:sz w:val="20"/>
          <w:szCs w:val="20"/>
        </w:rPr>
        <w:t xml:space="preserve">artinya jika PUAS </w:t>
      </w:r>
      <w:r w:rsidR="008213EB" w:rsidRPr="00412505">
        <w:rPr>
          <w:rFonts w:ascii="Times New Roman" w:eastAsia="Times New Roman" w:hAnsi="Times New Roman" w:cs="Times New Roman"/>
          <w:bCs/>
          <w:sz w:val="20"/>
          <w:szCs w:val="20"/>
        </w:rPr>
        <w:t>mengalami kenaikan maka pertumbuhan ekonomi Indonesia juga akan mengalami kenaikan.</w:t>
      </w:r>
      <w:r w:rsidR="008904EE" w:rsidRPr="00412505">
        <w:rPr>
          <w:rFonts w:ascii="Times New Roman" w:eastAsia="Times New Roman" w:hAnsi="Times New Roman" w:cs="Times New Roman"/>
          <w:bCs/>
          <w:sz w:val="20"/>
          <w:szCs w:val="20"/>
        </w:rPr>
        <w:t xml:space="preserve"> Hal ini karena </w:t>
      </w:r>
      <w:r w:rsidR="008213EB" w:rsidRPr="00412505">
        <w:rPr>
          <w:rFonts w:ascii="Times New Roman" w:eastAsia="Times New Roman" w:hAnsi="Times New Roman" w:cs="Times New Roman"/>
          <w:bCs/>
          <w:sz w:val="20"/>
          <w:szCs w:val="20"/>
        </w:rPr>
        <w:t>PUAS mempunyai fungsi sebagai alternatif pemenuhan kebutuhan likuiditas harian bank syariah</w:t>
      </w:r>
      <w:r w:rsidR="0034338F" w:rsidRPr="00412505">
        <w:rPr>
          <w:rFonts w:ascii="Times New Roman" w:eastAsia="Times New Roman" w:hAnsi="Times New Roman" w:cs="Times New Roman"/>
          <w:bCs/>
          <w:sz w:val="20"/>
          <w:szCs w:val="20"/>
        </w:rPr>
        <w:fldChar w:fldCharType="begin" w:fldLock="1"/>
      </w:r>
      <w:r w:rsidR="0034338F" w:rsidRPr="00412505">
        <w:rPr>
          <w:rFonts w:ascii="Times New Roman" w:eastAsia="Times New Roman" w:hAnsi="Times New Roman" w:cs="Times New Roman"/>
          <w:bCs/>
          <w:sz w:val="20"/>
          <w:szCs w:val="20"/>
        </w:rPr>
        <w:instrText>ADDIN CSL_CITATION {"citationItems":[{"id":"ITEM-1","itemData":{"author":[{"dropping-particle":"","family":"Suripto","given":"Tyo","non-dropping-particle":"","parse-names":false,"suffix":""}],"container-title":"Doctoral dissertation, S1 Perbankan Syariah IAIN Syekh Nurjati Cirebon","id":"ITEM-1","issued":{"date-parts":[["2022"]]},"title":"Pengaruh Instrumen Kebijakan Moneter Syariah Terhadap Tingkat Inflasi dan Pertumbuhan Ekonomi","type":"article-journal"},"uris":["http://www.mendeley.com/documents/?uuid=440172ca-3208-48d5-bece-c0da5bf37533"]}],"mendeley":{"formattedCitation":"(Suripto, 2022)","plainTextFormattedCitation":"(Suripto, 2022)","previouslyFormattedCitation":"(Suripto, 2022)"},"properties":{"noteIndex":0},"schema":"https://github.com/citation-style-language/schema/raw/master/csl-citation.json"}</w:instrText>
      </w:r>
      <w:r w:rsidR="0034338F" w:rsidRPr="00412505">
        <w:rPr>
          <w:rFonts w:ascii="Times New Roman" w:eastAsia="Times New Roman" w:hAnsi="Times New Roman" w:cs="Times New Roman"/>
          <w:bCs/>
          <w:sz w:val="20"/>
          <w:szCs w:val="20"/>
        </w:rPr>
        <w:fldChar w:fldCharType="separate"/>
      </w:r>
      <w:r w:rsidR="0034338F" w:rsidRPr="00412505">
        <w:rPr>
          <w:rFonts w:ascii="Times New Roman" w:eastAsia="Times New Roman" w:hAnsi="Times New Roman" w:cs="Times New Roman"/>
          <w:bCs/>
          <w:noProof/>
          <w:sz w:val="20"/>
          <w:szCs w:val="20"/>
        </w:rPr>
        <w:t>(Suripto, 2022)</w:t>
      </w:r>
      <w:r w:rsidR="0034338F" w:rsidRPr="00412505">
        <w:rPr>
          <w:rFonts w:ascii="Times New Roman" w:eastAsia="Times New Roman" w:hAnsi="Times New Roman" w:cs="Times New Roman"/>
          <w:bCs/>
          <w:sz w:val="20"/>
          <w:szCs w:val="20"/>
        </w:rPr>
        <w:fldChar w:fldCharType="end"/>
      </w:r>
    </w:p>
    <w:p w14:paraId="6E966EFB" w14:textId="77777777" w:rsidR="00712E6F" w:rsidRDefault="000278C3"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lastRenderedPageBreak/>
        <w:t>Berdasarkan penelitian yang dilakukan oleh Arofiani Mutmainah (2024) menunjukkan tren positif yang konsisten dalam penurunan tingkat inflasi dan peningkatan pertumbuhan ekonomi seiring dengan peningkatan skala kebijakan moneter syariah yang diterapkan oleh Bank Indonesia. Hal ini menunjukkan bahwa instrumen keuangan syariah seperti SBIS, GWM Syariah, dan Sukuk efektif dalam mengendalikan likuiditas dan stabilitas moneter, yang pada gilirannya berkontribusi pada terciptanya kondisi makroekonomi yang kondusif untuk pertumbuhan ekonomi.</w:t>
      </w:r>
    </w:p>
    <w:p w14:paraId="3EDA2492" w14:textId="1A815494" w:rsidR="000278C3" w:rsidRPr="00412505" w:rsidRDefault="000278C3" w:rsidP="00712E6F">
      <w:pPr>
        <w:pBdr>
          <w:top w:val="nil"/>
          <w:left w:val="nil"/>
          <w:bottom w:val="nil"/>
          <w:right w:val="nil"/>
          <w:between w:val="nil"/>
        </w:pBdr>
        <w:spacing w:after="0" w:line="240" w:lineRule="auto"/>
        <w:ind w:firstLine="426"/>
        <w:jc w:val="both"/>
        <w:rPr>
          <w:rFonts w:ascii="Times New Roman" w:eastAsia="Times New Roman" w:hAnsi="Times New Roman" w:cs="Times New Roman"/>
          <w:bCs/>
          <w:sz w:val="20"/>
          <w:szCs w:val="20"/>
        </w:rPr>
      </w:pPr>
      <w:r w:rsidRPr="00412505">
        <w:rPr>
          <w:rFonts w:ascii="Times New Roman" w:eastAsia="Times New Roman" w:hAnsi="Times New Roman" w:cs="Times New Roman"/>
          <w:bCs/>
          <w:sz w:val="20"/>
          <w:szCs w:val="20"/>
        </w:rPr>
        <w:t>Penggunaan instrumen syariah dalam kebijakan moneter memiliki beberapa keunggulan dibandingkan instrumen konvensional. Pertama, prinsip syariah yang melarang riba membantu menjaga stabilitas nilai mata uang dan mencegah inflasi yang berlebihan. Kedua, instrumen syariah seperti Sukuk dapat menjadi sumber pendanaan alternatif yang stabil dan berkelanjutan bagi pemerintah dan sektor swasta, sehingga mendorong investasi dan memacu pertumbuhan ekonomi</w:t>
      </w:r>
      <w:r w:rsidR="0034338F" w:rsidRPr="00412505">
        <w:rPr>
          <w:rFonts w:ascii="Times New Roman" w:eastAsia="Times New Roman" w:hAnsi="Times New Roman" w:cs="Times New Roman"/>
          <w:bCs/>
          <w:sz w:val="20"/>
          <w:szCs w:val="20"/>
        </w:rPr>
        <w:fldChar w:fldCharType="begin" w:fldLock="1"/>
      </w:r>
      <w:r w:rsidR="0034338F" w:rsidRPr="00412505">
        <w:rPr>
          <w:rFonts w:ascii="Times New Roman" w:eastAsia="Times New Roman" w:hAnsi="Times New Roman" w:cs="Times New Roman"/>
          <w:bCs/>
          <w:sz w:val="20"/>
          <w:szCs w:val="20"/>
        </w:rPr>
        <w:instrText>ADDIN CSL_CITATION {"citationItems":[{"id":"ITEM-1","itemData":{"author":[{"dropping-particle":"","family":"Mutmainah","given":"Arofiani","non-dropping-particle":"","parse-names":false,"suffix":""},{"dropping-particle":"","family":"Khairiyah","given":"Dina Cheetah","non-dropping-particle":"","parse-names":false,"suffix":""},{"dropping-particle":"","family":"Nasution","given":"Habibah Ramadhani","non-dropping-particle":"","parse-names":false,"suffix":""},{"dropping-particle":"","family":"Sambo","given":"Rafly Aditya","non-dropping-particle":"","parse-names":false,"suffix":""}],"id":"ITEM-1","issued":{"date-parts":[["2024"]]},"page":"567-573","title":"Kajian Peran Kebijakan Moneter Syariah dalam Mendorong Pertumbuhan Ekonomi Indonesia","type":"article-journal","volume":"4"},"uris":["http://www.mendeley.com/documents/?uuid=dbb71e67-056e-493f-b82d-fb64b5c5d4fc"]}],"mendeley":{"formattedCitation":"(Mutmainah et al., 2024)","plainTextFormattedCitation":"(Mutmainah et al., 2024)"},"properties":{"noteIndex":0},"schema":"https://github.com/citation-style-language/schema/raw/master/csl-citation.json"}</w:instrText>
      </w:r>
      <w:r w:rsidR="0034338F" w:rsidRPr="00412505">
        <w:rPr>
          <w:rFonts w:ascii="Times New Roman" w:eastAsia="Times New Roman" w:hAnsi="Times New Roman" w:cs="Times New Roman"/>
          <w:bCs/>
          <w:sz w:val="20"/>
          <w:szCs w:val="20"/>
        </w:rPr>
        <w:fldChar w:fldCharType="separate"/>
      </w:r>
      <w:r w:rsidR="0034338F" w:rsidRPr="00412505">
        <w:rPr>
          <w:rFonts w:ascii="Times New Roman" w:eastAsia="Times New Roman" w:hAnsi="Times New Roman" w:cs="Times New Roman"/>
          <w:bCs/>
          <w:noProof/>
          <w:sz w:val="20"/>
          <w:szCs w:val="20"/>
        </w:rPr>
        <w:t>(Mutmainah et al., 2024)</w:t>
      </w:r>
      <w:r w:rsidR="0034338F" w:rsidRPr="00412505">
        <w:rPr>
          <w:rFonts w:ascii="Times New Roman" w:eastAsia="Times New Roman" w:hAnsi="Times New Roman" w:cs="Times New Roman"/>
          <w:bCs/>
          <w:sz w:val="20"/>
          <w:szCs w:val="20"/>
        </w:rPr>
        <w:fldChar w:fldCharType="end"/>
      </w:r>
      <w:r w:rsidR="0034338F" w:rsidRPr="00412505">
        <w:rPr>
          <w:rFonts w:ascii="Times New Roman" w:eastAsia="Times New Roman" w:hAnsi="Times New Roman" w:cs="Times New Roman"/>
          <w:bCs/>
          <w:sz w:val="20"/>
          <w:szCs w:val="20"/>
        </w:rPr>
        <w:t>.</w:t>
      </w:r>
    </w:p>
    <w:p w14:paraId="00000098" w14:textId="77777777" w:rsidR="00596A2A" w:rsidRDefault="00596A2A" w:rsidP="00712E6F">
      <w:pPr>
        <w:pBdr>
          <w:top w:val="nil"/>
          <w:left w:val="nil"/>
          <w:bottom w:val="nil"/>
          <w:right w:val="nil"/>
          <w:between w:val="nil"/>
        </w:pBdr>
        <w:spacing w:after="0" w:line="240" w:lineRule="auto"/>
        <w:ind w:left="1440" w:firstLine="198"/>
        <w:jc w:val="both"/>
        <w:rPr>
          <w:rFonts w:ascii="Times New Roman" w:eastAsia="Times New Roman" w:hAnsi="Times New Roman" w:cs="Times New Roman"/>
          <w:color w:val="111111"/>
          <w:sz w:val="24"/>
          <w:szCs w:val="24"/>
        </w:rPr>
      </w:pPr>
    </w:p>
    <w:p w14:paraId="12A44E37" w14:textId="77777777" w:rsidR="008904EE" w:rsidRDefault="004F181F" w:rsidP="00712E6F">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KESIMPULAN</w:t>
      </w:r>
    </w:p>
    <w:p w14:paraId="5519E829" w14:textId="77777777" w:rsidR="0093119A" w:rsidRPr="00712E6F"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712E6F">
        <w:rPr>
          <w:rFonts w:ascii="Times New Roman" w:eastAsia="Times New Roman" w:hAnsi="Times New Roman" w:cs="Times New Roman"/>
          <w:sz w:val="20"/>
          <w:szCs w:val="20"/>
        </w:rPr>
        <w:t xml:space="preserve">Dari pembahasan dan uraian diatas maka penulis dapat menyimpulkan bahwa kebijakan moneter islam di Indonesia dari tahun 2014-2024 terus mengalami perkembangan, yaitu ditandai dengan penerbitan instrumen-instrumen baru. Seperti, Sertifikat Investasi Mudharabah Antar Bank (SIMA), Sertifikat Perdagangan Komoditi Berdasarkan Prinsip Syariah (SiKA), Sukuk Bank Indonesia (SUKBI), dan Sukuk Valas Bank Indonesia. Pemerintah juga terus mengoptimalkan </w:t>
      </w:r>
      <w:r w:rsidR="0093119A" w:rsidRPr="00712E6F">
        <w:rPr>
          <w:rFonts w:ascii="Times New Roman" w:eastAsia="Times New Roman" w:hAnsi="Times New Roman" w:cs="Times New Roman"/>
          <w:sz w:val="20"/>
          <w:szCs w:val="20"/>
        </w:rPr>
        <w:t>instrument-</w:t>
      </w:r>
      <w:r w:rsidRPr="00712E6F">
        <w:rPr>
          <w:rFonts w:ascii="Times New Roman" w:eastAsia="Times New Roman" w:hAnsi="Times New Roman" w:cs="Times New Roman"/>
          <w:sz w:val="20"/>
          <w:szCs w:val="20"/>
        </w:rPr>
        <w:t xml:space="preserve">instrumen tersebut agar mencapai stabilitas sistem keuangan, meningkatkan pembiayaan syariah dan mengembangkan pasar uang antar syariah. </w:t>
      </w:r>
    </w:p>
    <w:p w14:paraId="0000009C" w14:textId="4B1AFA98" w:rsidR="00596A2A" w:rsidRPr="00712E6F" w:rsidRDefault="004F181F" w:rsidP="00712E6F">
      <w:pPr>
        <w:pBdr>
          <w:top w:val="nil"/>
          <w:left w:val="nil"/>
          <w:bottom w:val="nil"/>
          <w:right w:val="nil"/>
          <w:between w:val="nil"/>
        </w:pBdr>
        <w:spacing w:after="0" w:line="240" w:lineRule="auto"/>
        <w:ind w:firstLine="360"/>
        <w:jc w:val="both"/>
        <w:rPr>
          <w:rFonts w:ascii="Times New Roman" w:eastAsia="Times New Roman" w:hAnsi="Times New Roman" w:cs="Times New Roman"/>
          <w:sz w:val="20"/>
          <w:szCs w:val="20"/>
        </w:rPr>
      </w:pPr>
      <w:r w:rsidRPr="00712E6F">
        <w:rPr>
          <w:rFonts w:ascii="Times New Roman" w:eastAsia="Times New Roman" w:hAnsi="Times New Roman" w:cs="Times New Roman"/>
          <w:sz w:val="20"/>
          <w:szCs w:val="20"/>
        </w:rPr>
        <w:t>Beberapa istrumen moneter islam yang diterapkan di Indonesia</w:t>
      </w:r>
      <w:r w:rsidR="0093119A" w:rsidRPr="00712E6F">
        <w:rPr>
          <w:rFonts w:ascii="Times New Roman" w:eastAsia="Times New Roman" w:hAnsi="Times New Roman" w:cs="Times New Roman"/>
          <w:sz w:val="20"/>
          <w:szCs w:val="20"/>
        </w:rPr>
        <w:t xml:space="preserve"> dari tahun 2014-2024 tersebut Sebagian besar </w:t>
      </w:r>
      <w:r w:rsidRPr="00712E6F">
        <w:rPr>
          <w:rFonts w:ascii="Times New Roman" w:eastAsia="Times New Roman" w:hAnsi="Times New Roman" w:cs="Times New Roman"/>
          <w:sz w:val="20"/>
          <w:szCs w:val="20"/>
        </w:rPr>
        <w:t>belum mampu memberikan dampak yang besar terhadap perekonomian Indonesia. Hal ini disebabkan karena</w:t>
      </w:r>
      <w:r w:rsidR="00953F43" w:rsidRPr="00712E6F">
        <w:rPr>
          <w:rFonts w:ascii="Times New Roman" w:eastAsia="Times New Roman" w:hAnsi="Times New Roman" w:cs="Times New Roman"/>
          <w:sz w:val="20"/>
          <w:szCs w:val="20"/>
        </w:rPr>
        <w:t xml:space="preserve"> kontribusi </w:t>
      </w:r>
      <w:r w:rsidRPr="00712E6F">
        <w:rPr>
          <w:rFonts w:ascii="Times New Roman" w:eastAsia="Times New Roman" w:hAnsi="Times New Roman" w:cs="Times New Roman"/>
          <w:sz w:val="20"/>
          <w:szCs w:val="20"/>
        </w:rPr>
        <w:t>sistem moneter islam</w:t>
      </w:r>
      <w:r w:rsidR="00953F43" w:rsidRPr="00712E6F">
        <w:rPr>
          <w:rFonts w:ascii="Times New Roman" w:eastAsia="Times New Roman" w:hAnsi="Times New Roman" w:cs="Times New Roman"/>
          <w:sz w:val="20"/>
          <w:szCs w:val="20"/>
        </w:rPr>
        <w:t xml:space="preserve"> masih kecil, </w:t>
      </w:r>
      <w:r w:rsidRPr="00712E6F">
        <w:rPr>
          <w:rFonts w:ascii="Times New Roman" w:eastAsia="Times New Roman" w:hAnsi="Times New Roman" w:cs="Times New Roman"/>
          <w:sz w:val="20"/>
          <w:szCs w:val="20"/>
        </w:rPr>
        <w:t xml:space="preserve"> </w:t>
      </w:r>
      <w:r w:rsidR="00953F43" w:rsidRPr="00712E6F">
        <w:rPr>
          <w:rFonts w:ascii="Times New Roman" w:eastAsia="Times New Roman" w:hAnsi="Times New Roman" w:cs="Times New Roman"/>
          <w:sz w:val="20"/>
          <w:szCs w:val="20"/>
        </w:rPr>
        <w:t xml:space="preserve">dan hanya </w:t>
      </w:r>
      <w:r w:rsidRPr="00712E6F">
        <w:rPr>
          <w:rFonts w:ascii="Times New Roman" w:eastAsia="Times New Roman" w:hAnsi="Times New Roman" w:cs="Times New Roman"/>
          <w:sz w:val="20"/>
          <w:szCs w:val="20"/>
        </w:rPr>
        <w:t>menjadi pelengkap bagi sistem moneter konvensional</w:t>
      </w:r>
      <w:r w:rsidR="00953F43" w:rsidRPr="00712E6F">
        <w:rPr>
          <w:rFonts w:ascii="Times New Roman" w:eastAsia="Times New Roman" w:hAnsi="Times New Roman" w:cs="Times New Roman"/>
          <w:sz w:val="20"/>
          <w:szCs w:val="20"/>
        </w:rPr>
        <w:t xml:space="preserve">. </w:t>
      </w:r>
    </w:p>
    <w:p w14:paraId="101B4A6D" w14:textId="77777777" w:rsidR="0034338F" w:rsidRDefault="0034338F" w:rsidP="001324A0">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6455C1BD" w14:textId="6146E791" w:rsidR="00BC4868" w:rsidRPr="0034338F" w:rsidRDefault="003E2F49" w:rsidP="00712E6F">
      <w:pPr>
        <w:pBdr>
          <w:top w:val="nil"/>
          <w:left w:val="nil"/>
          <w:bottom w:val="nil"/>
          <w:right w:val="nil"/>
          <w:between w:val="nil"/>
        </w:pBdr>
        <w:spacing w:after="0" w:line="360" w:lineRule="auto"/>
        <w:rPr>
          <w:rFonts w:ascii="Times New Roman" w:eastAsia="Times New Roman" w:hAnsi="Times New Roman" w:cs="Times New Roman"/>
          <w:b/>
          <w:color w:val="000000"/>
          <w:sz w:val="20"/>
          <w:szCs w:val="20"/>
        </w:rPr>
      </w:pPr>
      <w:r w:rsidRPr="0034338F">
        <w:rPr>
          <w:rFonts w:ascii="Times New Roman" w:eastAsia="Times New Roman" w:hAnsi="Times New Roman" w:cs="Times New Roman"/>
          <w:b/>
          <w:color w:val="000000"/>
          <w:sz w:val="20"/>
          <w:szCs w:val="20"/>
        </w:rPr>
        <w:t>DAFTAR PUSTAKA</w:t>
      </w:r>
    </w:p>
    <w:p w14:paraId="3E5F4ADE" w14:textId="5849BCB4" w:rsidR="0034338F" w:rsidRPr="0034338F" w:rsidRDefault="003E2F49"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eastAsia="Times New Roman" w:hAnsi="Times New Roman" w:cs="Times New Roman"/>
          <w:b/>
          <w:color w:val="000000"/>
          <w:sz w:val="20"/>
          <w:szCs w:val="20"/>
        </w:rPr>
        <w:fldChar w:fldCharType="begin" w:fldLock="1"/>
      </w:r>
      <w:r w:rsidRPr="0034338F">
        <w:rPr>
          <w:rFonts w:ascii="Times New Roman" w:eastAsia="Times New Roman" w:hAnsi="Times New Roman" w:cs="Times New Roman"/>
          <w:b/>
          <w:color w:val="000000"/>
          <w:sz w:val="20"/>
          <w:szCs w:val="20"/>
        </w:rPr>
        <w:instrText xml:space="preserve">ADDIN Mendeley Bibliography CSL_BIBLIOGRAPHY </w:instrText>
      </w:r>
      <w:r w:rsidRPr="0034338F">
        <w:rPr>
          <w:rFonts w:ascii="Times New Roman" w:eastAsia="Times New Roman" w:hAnsi="Times New Roman" w:cs="Times New Roman"/>
          <w:b/>
          <w:color w:val="000000"/>
          <w:sz w:val="20"/>
          <w:szCs w:val="20"/>
        </w:rPr>
        <w:fldChar w:fldCharType="separate"/>
      </w:r>
      <w:r w:rsidR="0034338F" w:rsidRPr="0034338F">
        <w:rPr>
          <w:rFonts w:ascii="Times New Roman" w:hAnsi="Times New Roman" w:cs="Times New Roman"/>
          <w:noProof/>
          <w:sz w:val="20"/>
          <w:szCs w:val="20"/>
        </w:rPr>
        <w:t xml:space="preserve">Ajuna, L. H. (2017). Kebijakan Moneter Syariah. </w:t>
      </w:r>
      <w:r w:rsidR="0034338F" w:rsidRPr="0034338F">
        <w:rPr>
          <w:rFonts w:ascii="Times New Roman" w:hAnsi="Times New Roman" w:cs="Times New Roman"/>
          <w:i/>
          <w:iCs/>
          <w:noProof/>
          <w:sz w:val="20"/>
          <w:szCs w:val="20"/>
        </w:rPr>
        <w:t>Al-Buhuts</w:t>
      </w:r>
      <w:r w:rsidR="0034338F" w:rsidRPr="0034338F">
        <w:rPr>
          <w:rFonts w:ascii="Times New Roman" w:hAnsi="Times New Roman" w:cs="Times New Roman"/>
          <w:noProof/>
          <w:sz w:val="20"/>
          <w:szCs w:val="20"/>
        </w:rPr>
        <w:t xml:space="preserve">, </w:t>
      </w:r>
      <w:r w:rsidR="0034338F" w:rsidRPr="0034338F">
        <w:rPr>
          <w:rFonts w:ascii="Times New Roman" w:hAnsi="Times New Roman" w:cs="Times New Roman"/>
          <w:i/>
          <w:iCs/>
          <w:noProof/>
          <w:sz w:val="20"/>
          <w:szCs w:val="20"/>
        </w:rPr>
        <w:t>13</w:t>
      </w:r>
      <w:r w:rsidR="0034338F" w:rsidRPr="0034338F">
        <w:rPr>
          <w:rFonts w:ascii="Times New Roman" w:hAnsi="Times New Roman" w:cs="Times New Roman"/>
          <w:noProof/>
          <w:sz w:val="20"/>
          <w:szCs w:val="20"/>
        </w:rPr>
        <w:t>(1), 104–117. https://core.ac.uk/download/pdf/294858876.pdf</w:t>
      </w:r>
    </w:p>
    <w:p w14:paraId="68C80AE6"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Alwaris, S. A. A. P., &amp; Hasan, N. (2023). Adopsi Nilai-Nilai Islam pada Instrumen Kebijakan Moneter dalam Mengontrol Peredaran Uang. </w:t>
      </w:r>
      <w:r w:rsidRPr="0034338F">
        <w:rPr>
          <w:rFonts w:ascii="Times New Roman" w:hAnsi="Times New Roman" w:cs="Times New Roman"/>
          <w:i/>
          <w:iCs/>
          <w:noProof/>
          <w:sz w:val="20"/>
          <w:szCs w:val="20"/>
        </w:rPr>
        <w:t>Kunuz: Journal of Islamic Banking and Finance</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3</w:t>
      </w:r>
      <w:r w:rsidRPr="0034338F">
        <w:rPr>
          <w:rFonts w:ascii="Times New Roman" w:hAnsi="Times New Roman" w:cs="Times New Roman"/>
          <w:noProof/>
          <w:sz w:val="20"/>
          <w:szCs w:val="20"/>
        </w:rPr>
        <w:t>(1), 65–77. https://doi.org/10.30984/kunuz.v3i1.601</w:t>
      </w:r>
    </w:p>
    <w:p w14:paraId="5D571B1B"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Anisa Mawaddah Nasution, &amp; Batubara, M. (2023). Penerapan Kebijakan Moneter Islam pada Sistem Perekonomian Indonesia. </w:t>
      </w:r>
      <w:r w:rsidRPr="0034338F">
        <w:rPr>
          <w:rFonts w:ascii="Times New Roman" w:hAnsi="Times New Roman" w:cs="Times New Roman"/>
          <w:i/>
          <w:iCs/>
          <w:noProof/>
          <w:sz w:val="20"/>
          <w:szCs w:val="20"/>
        </w:rPr>
        <w:t>Jurnal Penelitian Ekonomi Akuntansi (JENSI)</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7</w:t>
      </w:r>
      <w:r w:rsidRPr="0034338F">
        <w:rPr>
          <w:rFonts w:ascii="Times New Roman" w:hAnsi="Times New Roman" w:cs="Times New Roman"/>
          <w:noProof/>
          <w:sz w:val="20"/>
          <w:szCs w:val="20"/>
        </w:rPr>
        <w:t>(1), 144–154. https://doi.org/10.33059/jensi.v7i1.7665</w:t>
      </w:r>
    </w:p>
    <w:p w14:paraId="71B7B6D1"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Annisa. (2017). Konsep uang dan kebijakan moneter dalam konsep islam. </w:t>
      </w:r>
      <w:r w:rsidRPr="0034338F">
        <w:rPr>
          <w:rFonts w:ascii="Times New Roman" w:hAnsi="Times New Roman" w:cs="Times New Roman"/>
          <w:i/>
          <w:iCs/>
          <w:noProof/>
          <w:sz w:val="20"/>
          <w:szCs w:val="20"/>
        </w:rPr>
        <w:t>Mizan: Journal of Islamic Law</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1</w:t>
      </w:r>
      <w:r w:rsidRPr="0034338F">
        <w:rPr>
          <w:rFonts w:ascii="Times New Roman" w:hAnsi="Times New Roman" w:cs="Times New Roman"/>
          <w:noProof/>
          <w:sz w:val="20"/>
          <w:szCs w:val="20"/>
        </w:rPr>
        <w:t>(2), 109–126.</w:t>
      </w:r>
    </w:p>
    <w:p w14:paraId="2FED723A"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Asnuri, W. (2015). Pengaruh Instrumen Moneter Syariah dan Ekspor Terhadap Pertumbuhan Ekonomi di Indonesia. </w:t>
      </w:r>
      <w:r w:rsidRPr="0034338F">
        <w:rPr>
          <w:rFonts w:ascii="Times New Roman" w:hAnsi="Times New Roman" w:cs="Times New Roman"/>
          <w:i/>
          <w:iCs/>
          <w:noProof/>
          <w:sz w:val="20"/>
          <w:szCs w:val="20"/>
        </w:rPr>
        <w:t>Al-Iqtishad: Journal of Islamic Economics</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5</w:t>
      </w:r>
      <w:r w:rsidRPr="0034338F">
        <w:rPr>
          <w:rFonts w:ascii="Times New Roman" w:hAnsi="Times New Roman" w:cs="Times New Roman"/>
          <w:noProof/>
          <w:sz w:val="20"/>
          <w:szCs w:val="20"/>
        </w:rPr>
        <w:t>(2). https://doi.org/10.15408/aiq.v5i2.2569</w:t>
      </w:r>
    </w:p>
    <w:p w14:paraId="4343F01D"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Bayuni, E. M., &amp; Srisusilawati, P. (2018). Kontribusi Instrumen Moneter Syariah Terhadap Pengendalian Inflasi Di Indonesia. </w:t>
      </w:r>
      <w:r w:rsidRPr="0034338F">
        <w:rPr>
          <w:rFonts w:ascii="Times New Roman" w:hAnsi="Times New Roman" w:cs="Times New Roman"/>
          <w:i/>
          <w:iCs/>
          <w:noProof/>
          <w:sz w:val="20"/>
          <w:szCs w:val="20"/>
        </w:rPr>
        <w:t>Amwaluna: Jurnal Ekonomi Dan Keuangan Syariah</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2</w:t>
      </w:r>
      <w:r w:rsidRPr="0034338F">
        <w:rPr>
          <w:rFonts w:ascii="Times New Roman" w:hAnsi="Times New Roman" w:cs="Times New Roman"/>
          <w:noProof/>
          <w:sz w:val="20"/>
          <w:szCs w:val="20"/>
        </w:rPr>
        <w:t>(1), 18–38. https://doi.org/10.29313/amwaluna.v2i1.3314</w:t>
      </w:r>
    </w:p>
    <w:p w14:paraId="205F6898"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Dainy, O., Hasanah, I., Sopia, S., &amp; Sari, R. N. (2025). </w:t>
      </w:r>
      <w:r w:rsidRPr="0034338F">
        <w:rPr>
          <w:rFonts w:ascii="Times New Roman" w:hAnsi="Times New Roman" w:cs="Times New Roman"/>
          <w:i/>
          <w:iCs/>
          <w:noProof/>
          <w:sz w:val="20"/>
          <w:szCs w:val="20"/>
        </w:rPr>
        <w:t>Pengaruh Implementasi Kebijakan Moneter Syariah Terhadap Pertumbuhan Ekonomi di Indonesia Periode 2020-2023</w:t>
      </w:r>
      <w:r w:rsidRPr="0034338F">
        <w:rPr>
          <w:rFonts w:ascii="Times New Roman" w:hAnsi="Times New Roman" w:cs="Times New Roman"/>
          <w:noProof/>
          <w:sz w:val="20"/>
          <w:szCs w:val="20"/>
        </w:rPr>
        <w:t>.</w:t>
      </w:r>
    </w:p>
    <w:p w14:paraId="073C63D1"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Dini Abdianti, Anisa Restu, &amp; Sholahuddin Al Ayyubi. (2023). Konsep Kebijakan Moneter Dalam Perspektif Ekonomi Islam. </w:t>
      </w:r>
      <w:r w:rsidRPr="0034338F">
        <w:rPr>
          <w:rFonts w:ascii="Times New Roman" w:hAnsi="Times New Roman" w:cs="Times New Roman"/>
          <w:i/>
          <w:iCs/>
          <w:noProof/>
          <w:sz w:val="20"/>
          <w:szCs w:val="20"/>
        </w:rPr>
        <w:t>Jurnal Kewirausahaan Dan Manajemen Bisnis: Cuan</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1</w:t>
      </w:r>
      <w:r w:rsidRPr="0034338F">
        <w:rPr>
          <w:rFonts w:ascii="Times New Roman" w:hAnsi="Times New Roman" w:cs="Times New Roman"/>
          <w:noProof/>
          <w:sz w:val="20"/>
          <w:szCs w:val="20"/>
        </w:rPr>
        <w:t>(2), 106–120. https://doi.org/10.59603/cuan.v1i2.20</w:t>
      </w:r>
    </w:p>
    <w:p w14:paraId="32CDFF2D"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Fuad, A. (2020). </w:t>
      </w:r>
      <w:r w:rsidRPr="0034338F">
        <w:rPr>
          <w:rFonts w:ascii="Times New Roman" w:hAnsi="Times New Roman" w:cs="Times New Roman"/>
          <w:i/>
          <w:iCs/>
          <w:noProof/>
          <w:sz w:val="20"/>
          <w:szCs w:val="20"/>
        </w:rPr>
        <w:t>280-Article Text-491-1-10-20200902 (1).pdf</w:t>
      </w:r>
      <w:r w:rsidRPr="0034338F">
        <w:rPr>
          <w:rFonts w:ascii="Times New Roman" w:hAnsi="Times New Roman" w:cs="Times New Roman"/>
          <w:noProof/>
          <w:sz w:val="20"/>
          <w:szCs w:val="20"/>
        </w:rPr>
        <w:t>.</w:t>
      </w:r>
    </w:p>
    <w:p w14:paraId="23C3284F"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Hawa, R. D. K., &amp; Rosyidi, S. (2018). The Effect of Third Party Funds, SBIS Returns, Satisfaction, and Inflation Rates on Islamic Bank Financing in Indonesia. </w:t>
      </w:r>
      <w:r w:rsidRPr="0034338F">
        <w:rPr>
          <w:rFonts w:ascii="Times New Roman" w:hAnsi="Times New Roman" w:cs="Times New Roman"/>
          <w:i/>
          <w:iCs/>
          <w:noProof/>
          <w:sz w:val="20"/>
          <w:szCs w:val="20"/>
        </w:rPr>
        <w:t>Jurnal Ekonomi Syariah Teori Dan Terapan</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5</w:t>
      </w:r>
      <w:r w:rsidRPr="0034338F">
        <w:rPr>
          <w:rFonts w:ascii="Times New Roman" w:hAnsi="Times New Roman" w:cs="Times New Roman"/>
          <w:noProof/>
          <w:sz w:val="20"/>
          <w:szCs w:val="20"/>
        </w:rPr>
        <w:t>(12), 1004–1019.</w:t>
      </w:r>
    </w:p>
    <w:p w14:paraId="10EE12B4"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Mutmainah, A., Khairiyah, D. C., Nasution, H. R., &amp; Sambo, R. A. (2024). </w:t>
      </w:r>
      <w:r w:rsidRPr="0034338F">
        <w:rPr>
          <w:rFonts w:ascii="Times New Roman" w:hAnsi="Times New Roman" w:cs="Times New Roman"/>
          <w:i/>
          <w:iCs/>
          <w:noProof/>
          <w:sz w:val="20"/>
          <w:szCs w:val="20"/>
        </w:rPr>
        <w:t>Kajian Peran Kebijakan Moneter Syariah dalam Mendorong Pertumbuhan Ekonomi Indonesia</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4</w:t>
      </w:r>
      <w:r w:rsidRPr="0034338F">
        <w:rPr>
          <w:rFonts w:ascii="Times New Roman" w:hAnsi="Times New Roman" w:cs="Times New Roman"/>
          <w:noProof/>
          <w:sz w:val="20"/>
          <w:szCs w:val="20"/>
        </w:rPr>
        <w:t>, 567–573.</w:t>
      </w:r>
    </w:p>
    <w:p w14:paraId="1850391E" w14:textId="77777777" w:rsidR="0034338F" w:rsidRPr="0034338F" w:rsidRDefault="0034338F" w:rsidP="005F6076">
      <w:pPr>
        <w:widowControl w:val="0"/>
        <w:autoSpaceDE w:val="0"/>
        <w:autoSpaceDN w:val="0"/>
        <w:adjustRightInd w:val="0"/>
        <w:spacing w:after="0" w:line="360" w:lineRule="auto"/>
        <w:ind w:left="567"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Ningrum, D. P., Hasanah, S. A., Zaroh, Y., &amp; Firdaus, N. (2024). Pengaruh Kebijakan Moneter Syariah Terhadap Stabilitas Mata Uang. </w:t>
      </w:r>
      <w:r w:rsidRPr="0034338F">
        <w:rPr>
          <w:rFonts w:ascii="Times New Roman" w:hAnsi="Times New Roman" w:cs="Times New Roman"/>
          <w:i/>
          <w:iCs/>
          <w:noProof/>
          <w:sz w:val="20"/>
          <w:szCs w:val="20"/>
        </w:rPr>
        <w:t>Jurnal Media Akademik</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2</w:t>
      </w:r>
      <w:r w:rsidRPr="0034338F">
        <w:rPr>
          <w:rFonts w:ascii="Times New Roman" w:hAnsi="Times New Roman" w:cs="Times New Roman"/>
          <w:noProof/>
          <w:sz w:val="20"/>
          <w:szCs w:val="20"/>
        </w:rPr>
        <w:t>(6), 3031–5220.</w:t>
      </w:r>
    </w:p>
    <w:p w14:paraId="58ABF070" w14:textId="77777777" w:rsidR="0034338F" w:rsidRPr="0034338F" w:rsidRDefault="0034338F" w:rsidP="00033F5A">
      <w:pPr>
        <w:widowControl w:val="0"/>
        <w:autoSpaceDE w:val="0"/>
        <w:autoSpaceDN w:val="0"/>
        <w:adjustRightInd w:val="0"/>
        <w:spacing w:after="0" w:line="360" w:lineRule="auto"/>
        <w:ind w:left="567" w:hanging="567"/>
        <w:rPr>
          <w:rFonts w:ascii="Times New Roman" w:hAnsi="Times New Roman" w:cs="Times New Roman"/>
          <w:noProof/>
          <w:sz w:val="20"/>
          <w:szCs w:val="20"/>
        </w:rPr>
      </w:pPr>
      <w:r w:rsidRPr="0034338F">
        <w:rPr>
          <w:rFonts w:ascii="Times New Roman" w:hAnsi="Times New Roman" w:cs="Times New Roman"/>
          <w:noProof/>
          <w:sz w:val="20"/>
          <w:szCs w:val="20"/>
        </w:rPr>
        <w:t xml:space="preserve">Perdana, K., Hamzah, E., &amp; Lubis, P. (2020). Pengaruh Tingkat Inflasi, Suku Bunga BI, dan Pertumbuhan Ekonomi Terhadap Pembiyaan Murabahah pada Bank Syariah di Indonesia ( Periode Januari 2013 – Desember 2017 ). </w:t>
      </w:r>
      <w:r w:rsidRPr="0034338F">
        <w:rPr>
          <w:rFonts w:ascii="Times New Roman" w:hAnsi="Times New Roman" w:cs="Times New Roman"/>
          <w:i/>
          <w:iCs/>
          <w:noProof/>
          <w:sz w:val="20"/>
          <w:szCs w:val="20"/>
        </w:rPr>
        <w:t>Najaha Iqtishod: Journal of Islamic Economic and Finance</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1</w:t>
      </w:r>
      <w:r w:rsidRPr="0034338F">
        <w:rPr>
          <w:rFonts w:ascii="Times New Roman" w:hAnsi="Times New Roman" w:cs="Times New Roman"/>
          <w:noProof/>
          <w:sz w:val="20"/>
          <w:szCs w:val="20"/>
        </w:rPr>
        <w:t>(1), 1–9. https://doi.org/10.22437/jief.v1i1.11511</w:t>
      </w:r>
    </w:p>
    <w:p w14:paraId="5733EFE6" w14:textId="77777777" w:rsidR="0034338F" w:rsidRPr="0034338F" w:rsidRDefault="0034338F" w:rsidP="0034338F">
      <w:pPr>
        <w:widowControl w:val="0"/>
        <w:autoSpaceDE w:val="0"/>
        <w:autoSpaceDN w:val="0"/>
        <w:adjustRightInd w:val="0"/>
        <w:spacing w:after="0" w:line="360" w:lineRule="auto"/>
        <w:ind w:left="960" w:hanging="480"/>
        <w:rPr>
          <w:rFonts w:ascii="Times New Roman" w:hAnsi="Times New Roman" w:cs="Times New Roman"/>
          <w:noProof/>
          <w:sz w:val="20"/>
          <w:szCs w:val="20"/>
        </w:rPr>
      </w:pPr>
      <w:r w:rsidRPr="0034338F">
        <w:rPr>
          <w:rFonts w:ascii="Times New Roman" w:hAnsi="Times New Roman" w:cs="Times New Roman"/>
          <w:noProof/>
          <w:sz w:val="20"/>
          <w:szCs w:val="20"/>
        </w:rPr>
        <w:t xml:space="preserve">Permana, R. M. R. (2024). </w:t>
      </w:r>
      <w:r w:rsidRPr="0034338F">
        <w:rPr>
          <w:rFonts w:ascii="Times New Roman" w:hAnsi="Times New Roman" w:cs="Times New Roman"/>
          <w:i/>
          <w:iCs/>
          <w:noProof/>
          <w:sz w:val="20"/>
          <w:szCs w:val="20"/>
        </w:rPr>
        <w:t>Data Jumlah Penduduk Indonesia Menurut Agama pada Semester I/2024</w:t>
      </w:r>
      <w:r w:rsidRPr="0034338F">
        <w:rPr>
          <w:rFonts w:ascii="Times New Roman" w:hAnsi="Times New Roman" w:cs="Times New Roman"/>
          <w:noProof/>
          <w:sz w:val="20"/>
          <w:szCs w:val="20"/>
        </w:rPr>
        <w:t xml:space="preserve">. </w:t>
      </w:r>
      <w:r w:rsidRPr="0034338F">
        <w:rPr>
          <w:rFonts w:ascii="Times New Roman" w:hAnsi="Times New Roman" w:cs="Times New Roman"/>
          <w:noProof/>
          <w:sz w:val="20"/>
          <w:szCs w:val="20"/>
        </w:rPr>
        <w:lastRenderedPageBreak/>
        <w:t>https://dataindonesia.id/varia/detail/data-jumlah-penduduk-indonesia-menurut-agama-pada-semester-i2024</w:t>
      </w:r>
    </w:p>
    <w:p w14:paraId="1CE0401E" w14:textId="77777777" w:rsidR="00033F5A" w:rsidRDefault="0034338F" w:rsidP="00033F5A">
      <w:pPr>
        <w:widowControl w:val="0"/>
        <w:autoSpaceDE w:val="0"/>
        <w:autoSpaceDN w:val="0"/>
        <w:adjustRightInd w:val="0"/>
        <w:spacing w:after="0" w:line="360" w:lineRule="auto"/>
        <w:ind w:left="567" w:hanging="425"/>
        <w:rPr>
          <w:rFonts w:ascii="Times New Roman" w:hAnsi="Times New Roman" w:cs="Times New Roman"/>
          <w:noProof/>
          <w:sz w:val="20"/>
          <w:szCs w:val="20"/>
        </w:rPr>
      </w:pPr>
      <w:r w:rsidRPr="0034338F">
        <w:rPr>
          <w:rFonts w:ascii="Times New Roman" w:hAnsi="Times New Roman" w:cs="Times New Roman"/>
          <w:noProof/>
          <w:sz w:val="20"/>
          <w:szCs w:val="20"/>
        </w:rPr>
        <w:t xml:space="preserve">Rahmad Riho Zeen, Ihsan Alfi Lubis, Fitra Ilham Ramadhan, Hilman Hanif, &amp; Khairina tambunan. (2022). Analisis Pengaruh Kebijakan Moneter Syariah Terhadap Perkembangan Ekonomi di Indonesia. </w:t>
      </w:r>
      <w:r w:rsidRPr="0034338F">
        <w:rPr>
          <w:rFonts w:ascii="Times New Roman" w:hAnsi="Times New Roman" w:cs="Times New Roman"/>
          <w:i/>
          <w:iCs/>
          <w:noProof/>
          <w:sz w:val="20"/>
          <w:szCs w:val="20"/>
        </w:rPr>
        <w:t>CEMERLANG : Jurnal Manajemen Dan Ekonomi Bisnis</w:t>
      </w:r>
      <w:r w:rsidRPr="0034338F">
        <w:rPr>
          <w:rFonts w:ascii="Times New Roman" w:hAnsi="Times New Roman" w:cs="Times New Roman"/>
          <w:noProof/>
          <w:sz w:val="20"/>
          <w:szCs w:val="20"/>
        </w:rPr>
        <w:t xml:space="preserve">, </w:t>
      </w:r>
      <w:r w:rsidRPr="0034338F">
        <w:rPr>
          <w:rFonts w:ascii="Times New Roman" w:hAnsi="Times New Roman" w:cs="Times New Roman"/>
          <w:i/>
          <w:iCs/>
          <w:noProof/>
          <w:sz w:val="20"/>
          <w:szCs w:val="20"/>
        </w:rPr>
        <w:t>2</w:t>
      </w:r>
      <w:r w:rsidRPr="0034338F">
        <w:rPr>
          <w:rFonts w:ascii="Times New Roman" w:hAnsi="Times New Roman" w:cs="Times New Roman"/>
          <w:noProof/>
          <w:sz w:val="20"/>
          <w:szCs w:val="20"/>
        </w:rPr>
        <w:t>(4), 259–269. https://doi.org/10.55606/cemerlang.v2i4.624</w:t>
      </w:r>
    </w:p>
    <w:p w14:paraId="5B65ED5B" w14:textId="77777777" w:rsidR="00033F5A" w:rsidRDefault="0034338F" w:rsidP="00033F5A">
      <w:pPr>
        <w:widowControl w:val="0"/>
        <w:autoSpaceDE w:val="0"/>
        <w:autoSpaceDN w:val="0"/>
        <w:adjustRightInd w:val="0"/>
        <w:spacing w:after="0" w:line="360" w:lineRule="auto"/>
        <w:ind w:left="567" w:hanging="425"/>
        <w:rPr>
          <w:rFonts w:ascii="Times New Roman" w:hAnsi="Times New Roman" w:cs="Times New Roman"/>
          <w:noProof/>
          <w:sz w:val="20"/>
          <w:szCs w:val="20"/>
        </w:rPr>
      </w:pPr>
      <w:r w:rsidRPr="0034338F">
        <w:rPr>
          <w:rFonts w:ascii="Times New Roman" w:hAnsi="Times New Roman" w:cs="Times New Roman"/>
          <w:noProof/>
          <w:sz w:val="20"/>
          <w:szCs w:val="20"/>
        </w:rPr>
        <w:t xml:space="preserve">Raseuky, M. (2019). Pengaruh Instrumen Operasi Moneter Syariah Terhadap Pertumbuhan Ekonomi Di Indonesia Periode 2014-2018. </w:t>
      </w:r>
      <w:r w:rsidRPr="0034338F">
        <w:rPr>
          <w:rFonts w:ascii="Times New Roman" w:hAnsi="Times New Roman" w:cs="Times New Roman"/>
          <w:i/>
          <w:iCs/>
          <w:noProof/>
          <w:sz w:val="20"/>
          <w:szCs w:val="20"/>
        </w:rPr>
        <w:t>Doctoral Dissertation, Universitas Islam Negeri Sumatera Utara Medan</w:t>
      </w:r>
      <w:r w:rsidRPr="0034338F">
        <w:rPr>
          <w:rFonts w:ascii="Times New Roman" w:hAnsi="Times New Roman" w:cs="Times New Roman"/>
          <w:noProof/>
          <w:sz w:val="20"/>
          <w:szCs w:val="20"/>
        </w:rPr>
        <w:t>.</w:t>
      </w:r>
    </w:p>
    <w:p w14:paraId="5B16FD55" w14:textId="77777777" w:rsidR="00033F5A" w:rsidRDefault="00033F5A" w:rsidP="00033F5A">
      <w:pPr>
        <w:widowControl w:val="0"/>
        <w:autoSpaceDE w:val="0"/>
        <w:autoSpaceDN w:val="0"/>
        <w:adjustRightInd w:val="0"/>
        <w:spacing w:after="0" w:line="360" w:lineRule="auto"/>
        <w:ind w:left="567" w:hanging="425"/>
        <w:rPr>
          <w:rFonts w:ascii="Times New Roman" w:hAnsi="Times New Roman" w:cs="Times New Roman"/>
          <w:noProof/>
          <w:sz w:val="20"/>
          <w:szCs w:val="20"/>
        </w:rPr>
      </w:pPr>
      <w:r>
        <w:rPr>
          <w:rFonts w:ascii="Times New Roman" w:hAnsi="Times New Roman" w:cs="Times New Roman"/>
          <w:noProof/>
          <w:sz w:val="20"/>
          <w:szCs w:val="20"/>
        </w:rPr>
        <w:t>\</w:t>
      </w:r>
      <w:r w:rsidR="0034338F" w:rsidRPr="0034338F">
        <w:rPr>
          <w:rFonts w:ascii="Times New Roman" w:hAnsi="Times New Roman" w:cs="Times New Roman"/>
          <w:noProof/>
          <w:sz w:val="20"/>
          <w:szCs w:val="20"/>
        </w:rPr>
        <w:t xml:space="preserve">Sugianto, Harmain, H., &amp; Harahap, N. (2018). Mekanisme Transmisi Kebijakan Moneter di Indonesia Melalui Sistem Moneter Syariah. </w:t>
      </w:r>
      <w:r w:rsidR="0034338F" w:rsidRPr="0034338F">
        <w:rPr>
          <w:rFonts w:ascii="Times New Roman" w:hAnsi="Times New Roman" w:cs="Times New Roman"/>
          <w:i/>
          <w:iCs/>
          <w:noProof/>
          <w:sz w:val="20"/>
          <w:szCs w:val="20"/>
        </w:rPr>
        <w:t>Fakultas Ekonomi Dan Bisnis Islam UIN SU</w:t>
      </w:r>
      <w:r w:rsidR="0034338F" w:rsidRPr="0034338F">
        <w:rPr>
          <w:rFonts w:ascii="Times New Roman" w:hAnsi="Times New Roman" w:cs="Times New Roman"/>
          <w:noProof/>
          <w:sz w:val="20"/>
          <w:szCs w:val="20"/>
        </w:rPr>
        <w:t>, 56. https://www.researchgate.net/publication/293389231_MEKANISME_TRANSMISI_KEBIJAKAN_MONETER_DI_INDONESIA_MELALUI_SISTEM_MONETER_SYARIAH</w:t>
      </w:r>
    </w:p>
    <w:p w14:paraId="0E04286F" w14:textId="241880EE" w:rsidR="0034338F" w:rsidRPr="0034338F" w:rsidRDefault="0034338F" w:rsidP="00033F5A">
      <w:pPr>
        <w:widowControl w:val="0"/>
        <w:autoSpaceDE w:val="0"/>
        <w:autoSpaceDN w:val="0"/>
        <w:adjustRightInd w:val="0"/>
        <w:spacing w:after="0" w:line="360" w:lineRule="auto"/>
        <w:ind w:left="567" w:hanging="425"/>
        <w:rPr>
          <w:rFonts w:ascii="Times New Roman" w:hAnsi="Times New Roman" w:cs="Times New Roman"/>
          <w:noProof/>
          <w:sz w:val="20"/>
          <w:szCs w:val="20"/>
        </w:rPr>
      </w:pPr>
      <w:r w:rsidRPr="0034338F">
        <w:rPr>
          <w:rFonts w:ascii="Times New Roman" w:hAnsi="Times New Roman" w:cs="Times New Roman"/>
          <w:noProof/>
          <w:sz w:val="20"/>
          <w:szCs w:val="20"/>
        </w:rPr>
        <w:t xml:space="preserve">Suripto, T. (2022). Pengaruh Instrumen Kebijakan Moneter Syariah Terhadap Tingkat Inflasi dan Pertumbuhan Ekonomi. </w:t>
      </w:r>
      <w:r w:rsidRPr="0034338F">
        <w:rPr>
          <w:rFonts w:ascii="Times New Roman" w:hAnsi="Times New Roman" w:cs="Times New Roman"/>
          <w:i/>
          <w:iCs/>
          <w:noProof/>
          <w:sz w:val="20"/>
          <w:szCs w:val="20"/>
        </w:rPr>
        <w:t>Doctoral Dissertation, S1 Perbankan Syariah IAIN Syekh Nurjati Cirebon</w:t>
      </w:r>
      <w:r w:rsidRPr="0034338F">
        <w:rPr>
          <w:rFonts w:ascii="Times New Roman" w:hAnsi="Times New Roman" w:cs="Times New Roman"/>
          <w:noProof/>
          <w:sz w:val="20"/>
          <w:szCs w:val="20"/>
        </w:rPr>
        <w:t>.</w:t>
      </w:r>
    </w:p>
    <w:p w14:paraId="0555A714" w14:textId="77777777" w:rsidR="006B5B0C" w:rsidRPr="0034338F" w:rsidRDefault="003E2F49" w:rsidP="0034338F">
      <w:pPr>
        <w:pBdr>
          <w:top w:val="nil"/>
          <w:left w:val="nil"/>
          <w:bottom w:val="nil"/>
          <w:right w:val="nil"/>
          <w:between w:val="nil"/>
        </w:pBdr>
        <w:spacing w:after="0" w:line="360" w:lineRule="auto"/>
        <w:ind w:left="1200"/>
        <w:jc w:val="both"/>
        <w:rPr>
          <w:rFonts w:ascii="Times New Roman" w:eastAsia="Times New Roman" w:hAnsi="Times New Roman" w:cs="Times New Roman"/>
          <w:b/>
          <w:color w:val="000000"/>
          <w:sz w:val="20"/>
          <w:szCs w:val="20"/>
        </w:rPr>
        <w:sectPr w:rsidR="006B5B0C" w:rsidRPr="0034338F" w:rsidSect="005F6076">
          <w:type w:val="continuous"/>
          <w:pgSz w:w="11906" w:h="16838"/>
          <w:pgMar w:top="1134" w:right="851" w:bottom="1281" w:left="851" w:header="709" w:footer="709" w:gutter="0"/>
          <w:pgNumType w:start="40"/>
          <w:cols w:space="454"/>
        </w:sectPr>
      </w:pPr>
      <w:r w:rsidRPr="0034338F">
        <w:rPr>
          <w:rFonts w:ascii="Times New Roman" w:eastAsia="Times New Roman" w:hAnsi="Times New Roman" w:cs="Times New Roman"/>
          <w:b/>
          <w:color w:val="000000"/>
          <w:sz w:val="20"/>
          <w:szCs w:val="20"/>
        </w:rPr>
        <w:fldChar w:fldCharType="end"/>
      </w:r>
    </w:p>
    <w:p w14:paraId="3775C405" w14:textId="49E0E9D8" w:rsidR="003E2F49" w:rsidRDefault="003E2F49" w:rsidP="00FD59EE">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sz w:val="24"/>
          <w:szCs w:val="24"/>
        </w:rPr>
      </w:pPr>
    </w:p>
    <w:p w14:paraId="000000AF" w14:textId="77777777" w:rsidR="00596A2A" w:rsidRDefault="00596A2A" w:rsidP="00FD59EE">
      <w:pPr>
        <w:widowControl w:val="0"/>
        <w:spacing w:after="0" w:line="360" w:lineRule="auto"/>
        <w:ind w:left="1560" w:hanging="480"/>
        <w:jc w:val="both"/>
        <w:rPr>
          <w:rFonts w:ascii="Times New Roman" w:eastAsia="Times New Roman" w:hAnsi="Times New Roman" w:cs="Times New Roman"/>
          <w:sz w:val="24"/>
          <w:szCs w:val="24"/>
        </w:rPr>
      </w:pPr>
    </w:p>
    <w:p w14:paraId="000000D4" w14:textId="77777777" w:rsidR="00596A2A" w:rsidRDefault="00596A2A" w:rsidP="00FD59EE">
      <w:pPr>
        <w:spacing w:after="0" w:line="360" w:lineRule="auto"/>
        <w:jc w:val="both"/>
        <w:rPr>
          <w:rFonts w:ascii="Times New Roman" w:eastAsia="Times New Roman" w:hAnsi="Times New Roman" w:cs="Times New Roman"/>
          <w:b/>
          <w:sz w:val="24"/>
          <w:szCs w:val="24"/>
        </w:rPr>
      </w:pPr>
    </w:p>
    <w:p w14:paraId="000000D5" w14:textId="77777777" w:rsidR="00596A2A" w:rsidRDefault="00596A2A" w:rsidP="00FD59EE">
      <w:pPr>
        <w:spacing w:after="0" w:line="360" w:lineRule="auto"/>
        <w:jc w:val="both"/>
        <w:rPr>
          <w:rFonts w:ascii="Times New Roman" w:eastAsia="Times New Roman" w:hAnsi="Times New Roman" w:cs="Times New Roman"/>
          <w:b/>
          <w:sz w:val="24"/>
          <w:szCs w:val="24"/>
        </w:rPr>
      </w:pPr>
    </w:p>
    <w:p w14:paraId="000000D6" w14:textId="77777777" w:rsidR="00596A2A" w:rsidRDefault="00596A2A" w:rsidP="00FD59EE">
      <w:pPr>
        <w:spacing w:after="0" w:line="360" w:lineRule="auto"/>
        <w:jc w:val="both"/>
        <w:rPr>
          <w:rFonts w:ascii="Times New Roman" w:eastAsia="Times New Roman" w:hAnsi="Times New Roman" w:cs="Times New Roman"/>
          <w:sz w:val="24"/>
          <w:szCs w:val="24"/>
        </w:rPr>
      </w:pPr>
    </w:p>
    <w:p w14:paraId="000000D7" w14:textId="77777777" w:rsidR="00596A2A" w:rsidRDefault="004F181F" w:rsidP="00FD59EE">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sectPr w:rsidR="00596A2A" w:rsidSect="00FD59EE">
      <w:type w:val="continuous"/>
      <w:pgSz w:w="11906" w:h="16838"/>
      <w:pgMar w:top="1134" w:right="851" w:bottom="1281" w:left="851" w:header="709" w:footer="709" w:gutter="0"/>
      <w:pgNumType w:start="1"/>
      <w:cols w:num="2"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FCBE0" w14:textId="77777777" w:rsidR="00FC24D7" w:rsidRDefault="00FC24D7" w:rsidP="00CD6B59">
      <w:pPr>
        <w:spacing w:after="0" w:line="240" w:lineRule="auto"/>
      </w:pPr>
      <w:r>
        <w:separator/>
      </w:r>
    </w:p>
  </w:endnote>
  <w:endnote w:type="continuationSeparator" w:id="0">
    <w:p w14:paraId="17AF30C1" w14:textId="77777777" w:rsidR="00FC24D7" w:rsidRDefault="00FC24D7" w:rsidP="00CD6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embedRegular r:id="rId1" w:fontKey="{2842FB4E-44A8-4B1E-ADA7-5970F51AE84E}"/>
  </w:font>
  <w:font w:name="Calibri">
    <w:panose1 w:val="020F0502020204030204"/>
    <w:charset w:val="00"/>
    <w:family w:val="swiss"/>
    <w:pitch w:val="variable"/>
    <w:sig w:usb0="E4002EFF" w:usb1="C200247B" w:usb2="00000009" w:usb3="00000000" w:csb0="000001FF" w:csb1="00000000"/>
    <w:embedRegular r:id="rId2" w:fontKey="{76870F83-C770-4A82-B082-6F7A9DE8C618}"/>
    <w:embedBold r:id="rId3" w:fontKey="{4C27F6CD-E769-4EA9-88D8-23D415C7D0D4}"/>
    <w:embedItalic r:id="rId4" w:fontKey="{79C5E511-3385-47E5-BE60-0DF14CA424E6}"/>
  </w:font>
  <w:font w:name="Georgia">
    <w:panose1 w:val="02040502050405020303"/>
    <w:charset w:val="00"/>
    <w:family w:val="roman"/>
    <w:pitch w:val="variable"/>
    <w:sig w:usb0="00000287" w:usb1="00000000" w:usb2="00000000" w:usb3="00000000" w:csb0="0000009F" w:csb1="00000000"/>
    <w:embedRegular r:id="rId5" w:fontKey="{5D53845D-35EC-45FD-BC39-D99EA31A6D3C}"/>
    <w:embedItalic r:id="rId6" w:fontKey="{E60E4680-B1AF-499F-B6A8-5D358B1918A9}"/>
  </w:font>
  <w:font w:name="Consolas">
    <w:panose1 w:val="020B0609020204030204"/>
    <w:charset w:val="00"/>
    <w:family w:val="modern"/>
    <w:pitch w:val="fixed"/>
    <w:sig w:usb0="E00006FF" w:usb1="0000FCFF" w:usb2="00000001" w:usb3="00000000" w:csb0="0000019F" w:csb1="00000000"/>
    <w:embedRegular r:id="rId7" w:fontKey="{424EAF51-458F-4FF8-9A9E-86B9D037C557}"/>
  </w:font>
  <w:font w:name="Cambria">
    <w:panose1 w:val="02040503050406030204"/>
    <w:charset w:val="00"/>
    <w:family w:val="roman"/>
    <w:pitch w:val="variable"/>
    <w:sig w:usb0="E00006FF" w:usb1="420024FF" w:usb2="02000000" w:usb3="00000000" w:csb0="0000019F" w:csb1="00000000"/>
    <w:embedRegular r:id="rId8" w:fontKey="{F22BE0C6-BD2D-4DF0-9CEB-D24DCAC4D0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21074"/>
      <w:docPartObj>
        <w:docPartGallery w:val="Page Numbers (Bottom of Page)"/>
        <w:docPartUnique/>
      </w:docPartObj>
    </w:sdtPr>
    <w:sdtEndPr>
      <w:rPr>
        <w:noProof/>
      </w:rPr>
    </w:sdtEndPr>
    <w:sdtContent>
      <w:p w14:paraId="677F8DB9" w14:textId="31E70154" w:rsidR="005F6076" w:rsidRDefault="005F60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977B4E" w14:textId="77777777" w:rsidR="00712E6F" w:rsidRDefault="00712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1A7B7" w14:textId="77777777" w:rsidR="00FC24D7" w:rsidRDefault="00FC24D7" w:rsidP="00CD6B59">
      <w:pPr>
        <w:spacing w:after="0" w:line="240" w:lineRule="auto"/>
      </w:pPr>
      <w:r>
        <w:separator/>
      </w:r>
    </w:p>
  </w:footnote>
  <w:footnote w:type="continuationSeparator" w:id="0">
    <w:p w14:paraId="4FE660E7" w14:textId="77777777" w:rsidR="00FC24D7" w:rsidRDefault="00FC24D7" w:rsidP="00CD6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F456" w14:textId="02F0A2E6" w:rsidR="00712E6F" w:rsidRDefault="00712E6F" w:rsidP="00712E6F">
    <w:pPr>
      <w:pStyle w:val="Header"/>
    </w:pPr>
  </w:p>
  <w:p w14:paraId="248EBEEC" w14:textId="77777777" w:rsidR="00712E6F" w:rsidRDefault="00712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90E"/>
    <w:multiLevelType w:val="multilevel"/>
    <w:tmpl w:val="F76EF03E"/>
    <w:lvl w:ilvl="0">
      <w:start w:val="1"/>
      <w:numFmt w:val="bullet"/>
      <w:lvlText w:val=""/>
      <w:lvlJc w:val="left"/>
      <w:pPr>
        <w:ind w:left="492" w:hanging="360"/>
      </w:pPr>
      <w:rPr>
        <w:rFonts w:ascii="Symbol" w:hAnsi="Symbol" w:hint="default"/>
        <w:u w:val="none"/>
      </w:rPr>
    </w:lvl>
    <w:lvl w:ilvl="1">
      <w:start w:val="1"/>
      <w:numFmt w:val="lowerRoman"/>
      <w:lvlText w:val="%2."/>
      <w:lvlJc w:val="right"/>
      <w:pPr>
        <w:ind w:left="1212" w:hanging="360"/>
      </w:pPr>
      <w:rPr>
        <w:u w:val="none"/>
      </w:rPr>
    </w:lvl>
    <w:lvl w:ilvl="2">
      <w:start w:val="1"/>
      <w:numFmt w:val="decimal"/>
      <w:lvlText w:val="%3."/>
      <w:lvlJc w:val="left"/>
      <w:pPr>
        <w:ind w:left="1932" w:hanging="360"/>
      </w:pPr>
      <w:rPr>
        <w:u w:val="none"/>
      </w:rPr>
    </w:lvl>
    <w:lvl w:ilvl="3">
      <w:start w:val="1"/>
      <w:numFmt w:val="lowerLetter"/>
      <w:lvlText w:val="%4."/>
      <w:lvlJc w:val="left"/>
      <w:pPr>
        <w:ind w:left="2652" w:hanging="360"/>
      </w:pPr>
      <w:rPr>
        <w:u w:val="none"/>
      </w:rPr>
    </w:lvl>
    <w:lvl w:ilvl="4">
      <w:start w:val="1"/>
      <w:numFmt w:val="lowerRoman"/>
      <w:lvlText w:val="%5."/>
      <w:lvlJc w:val="right"/>
      <w:pPr>
        <w:ind w:left="3372" w:hanging="360"/>
      </w:pPr>
      <w:rPr>
        <w:u w:val="none"/>
      </w:rPr>
    </w:lvl>
    <w:lvl w:ilvl="5">
      <w:start w:val="1"/>
      <w:numFmt w:val="decimal"/>
      <w:lvlText w:val="%6."/>
      <w:lvlJc w:val="left"/>
      <w:pPr>
        <w:ind w:left="4092" w:hanging="360"/>
      </w:pPr>
      <w:rPr>
        <w:u w:val="none"/>
      </w:rPr>
    </w:lvl>
    <w:lvl w:ilvl="6">
      <w:start w:val="1"/>
      <w:numFmt w:val="lowerLetter"/>
      <w:lvlText w:val="%7."/>
      <w:lvlJc w:val="left"/>
      <w:pPr>
        <w:ind w:left="4812" w:hanging="360"/>
      </w:pPr>
      <w:rPr>
        <w:u w:val="none"/>
      </w:rPr>
    </w:lvl>
    <w:lvl w:ilvl="7">
      <w:start w:val="1"/>
      <w:numFmt w:val="lowerRoman"/>
      <w:lvlText w:val="%8."/>
      <w:lvlJc w:val="right"/>
      <w:pPr>
        <w:ind w:left="5532" w:hanging="360"/>
      </w:pPr>
      <w:rPr>
        <w:u w:val="none"/>
      </w:rPr>
    </w:lvl>
    <w:lvl w:ilvl="8">
      <w:start w:val="1"/>
      <w:numFmt w:val="decimal"/>
      <w:lvlText w:val="%9."/>
      <w:lvlJc w:val="left"/>
      <w:pPr>
        <w:ind w:left="6252" w:hanging="360"/>
      </w:pPr>
      <w:rPr>
        <w:u w:val="none"/>
      </w:rPr>
    </w:lvl>
  </w:abstractNum>
  <w:abstractNum w:abstractNumId="1" w15:restartNumberingAfterBreak="0">
    <w:nsid w:val="05B92B0E"/>
    <w:multiLevelType w:val="multilevel"/>
    <w:tmpl w:val="DD64D16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0A9F2863"/>
    <w:multiLevelType w:val="hybridMultilevel"/>
    <w:tmpl w:val="E0C68E36"/>
    <w:lvl w:ilvl="0" w:tplc="38090019">
      <w:start w:val="1"/>
      <w:numFmt w:val="lowerLetter"/>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64633B0"/>
    <w:multiLevelType w:val="multilevel"/>
    <w:tmpl w:val="65AE226E"/>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4" w15:restartNumberingAfterBreak="0">
    <w:nsid w:val="1F6477FF"/>
    <w:multiLevelType w:val="hybridMultilevel"/>
    <w:tmpl w:val="943AEC96"/>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 w15:restartNumberingAfterBreak="0">
    <w:nsid w:val="28224DDB"/>
    <w:multiLevelType w:val="hybridMultilevel"/>
    <w:tmpl w:val="C8CCE744"/>
    <w:lvl w:ilvl="0" w:tplc="38090001">
      <w:start w:val="1"/>
      <w:numFmt w:val="bullet"/>
      <w:lvlText w:val=""/>
      <w:lvlJc w:val="left"/>
      <w:pPr>
        <w:ind w:left="644" w:hanging="360"/>
      </w:pPr>
      <w:rPr>
        <w:rFonts w:ascii="Symbol" w:hAnsi="Symbol" w:hint="default"/>
      </w:rPr>
    </w:lvl>
    <w:lvl w:ilvl="1" w:tplc="38090003" w:tentative="1">
      <w:start w:val="1"/>
      <w:numFmt w:val="bullet"/>
      <w:lvlText w:val="o"/>
      <w:lvlJc w:val="left"/>
      <w:pPr>
        <w:ind w:left="1222" w:hanging="360"/>
      </w:pPr>
      <w:rPr>
        <w:rFonts w:ascii="Courier New" w:hAnsi="Courier New" w:cs="Courier New" w:hint="default"/>
      </w:rPr>
    </w:lvl>
    <w:lvl w:ilvl="2" w:tplc="38090005" w:tentative="1">
      <w:start w:val="1"/>
      <w:numFmt w:val="bullet"/>
      <w:lvlText w:val=""/>
      <w:lvlJc w:val="left"/>
      <w:pPr>
        <w:ind w:left="1942" w:hanging="360"/>
      </w:pPr>
      <w:rPr>
        <w:rFonts w:ascii="Wingdings" w:hAnsi="Wingdings" w:hint="default"/>
      </w:rPr>
    </w:lvl>
    <w:lvl w:ilvl="3" w:tplc="38090001" w:tentative="1">
      <w:start w:val="1"/>
      <w:numFmt w:val="bullet"/>
      <w:lvlText w:val=""/>
      <w:lvlJc w:val="left"/>
      <w:pPr>
        <w:ind w:left="2662" w:hanging="360"/>
      </w:pPr>
      <w:rPr>
        <w:rFonts w:ascii="Symbol" w:hAnsi="Symbol" w:hint="default"/>
      </w:rPr>
    </w:lvl>
    <w:lvl w:ilvl="4" w:tplc="38090003" w:tentative="1">
      <w:start w:val="1"/>
      <w:numFmt w:val="bullet"/>
      <w:lvlText w:val="o"/>
      <w:lvlJc w:val="left"/>
      <w:pPr>
        <w:ind w:left="3382" w:hanging="360"/>
      </w:pPr>
      <w:rPr>
        <w:rFonts w:ascii="Courier New" w:hAnsi="Courier New" w:cs="Courier New" w:hint="default"/>
      </w:rPr>
    </w:lvl>
    <w:lvl w:ilvl="5" w:tplc="38090005" w:tentative="1">
      <w:start w:val="1"/>
      <w:numFmt w:val="bullet"/>
      <w:lvlText w:val=""/>
      <w:lvlJc w:val="left"/>
      <w:pPr>
        <w:ind w:left="4102" w:hanging="360"/>
      </w:pPr>
      <w:rPr>
        <w:rFonts w:ascii="Wingdings" w:hAnsi="Wingdings" w:hint="default"/>
      </w:rPr>
    </w:lvl>
    <w:lvl w:ilvl="6" w:tplc="38090001" w:tentative="1">
      <w:start w:val="1"/>
      <w:numFmt w:val="bullet"/>
      <w:lvlText w:val=""/>
      <w:lvlJc w:val="left"/>
      <w:pPr>
        <w:ind w:left="4822" w:hanging="360"/>
      </w:pPr>
      <w:rPr>
        <w:rFonts w:ascii="Symbol" w:hAnsi="Symbol" w:hint="default"/>
      </w:rPr>
    </w:lvl>
    <w:lvl w:ilvl="7" w:tplc="38090003" w:tentative="1">
      <w:start w:val="1"/>
      <w:numFmt w:val="bullet"/>
      <w:lvlText w:val="o"/>
      <w:lvlJc w:val="left"/>
      <w:pPr>
        <w:ind w:left="5542" w:hanging="360"/>
      </w:pPr>
      <w:rPr>
        <w:rFonts w:ascii="Courier New" w:hAnsi="Courier New" w:cs="Courier New" w:hint="default"/>
      </w:rPr>
    </w:lvl>
    <w:lvl w:ilvl="8" w:tplc="38090005" w:tentative="1">
      <w:start w:val="1"/>
      <w:numFmt w:val="bullet"/>
      <w:lvlText w:val=""/>
      <w:lvlJc w:val="left"/>
      <w:pPr>
        <w:ind w:left="6262" w:hanging="360"/>
      </w:pPr>
      <w:rPr>
        <w:rFonts w:ascii="Wingdings" w:hAnsi="Wingdings" w:hint="default"/>
      </w:rPr>
    </w:lvl>
  </w:abstractNum>
  <w:abstractNum w:abstractNumId="6" w15:restartNumberingAfterBreak="0">
    <w:nsid w:val="2B6D3268"/>
    <w:multiLevelType w:val="multilevel"/>
    <w:tmpl w:val="17D0F61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FA50D4A"/>
    <w:multiLevelType w:val="multilevel"/>
    <w:tmpl w:val="5E963308"/>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323B4D8B"/>
    <w:multiLevelType w:val="multilevel"/>
    <w:tmpl w:val="6C28BC32"/>
    <w:lvl w:ilvl="0">
      <w:start w:val="1"/>
      <w:numFmt w:val="bullet"/>
      <w:lvlText w:val=""/>
      <w:lvlJc w:val="left"/>
      <w:pPr>
        <w:ind w:left="1800" w:hanging="360"/>
      </w:pPr>
      <w:rPr>
        <w:rFonts w:ascii="Symbol" w:hAnsi="Symbo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35356DF3"/>
    <w:multiLevelType w:val="hybridMultilevel"/>
    <w:tmpl w:val="A7026510"/>
    <w:lvl w:ilvl="0" w:tplc="38090019">
      <w:start w:val="1"/>
      <w:numFmt w:val="low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 w15:restartNumberingAfterBreak="0">
    <w:nsid w:val="35791D11"/>
    <w:multiLevelType w:val="multilevel"/>
    <w:tmpl w:val="56B6F57A"/>
    <w:lvl w:ilvl="0">
      <w:start w:val="1"/>
      <w:numFmt w:val="lowerLetter"/>
      <w:lvlText w:val="%1."/>
      <w:lvlJc w:val="left"/>
      <w:pPr>
        <w:ind w:left="644" w:hanging="360"/>
      </w:pPr>
      <w:rPr>
        <w:rFonts w:ascii="Times New Roman" w:eastAsia="Times New Roman" w:hAnsi="Times New Roman" w:cs="Times New Roma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387115F3"/>
    <w:multiLevelType w:val="hybridMultilevel"/>
    <w:tmpl w:val="BE50BD98"/>
    <w:lvl w:ilvl="0" w:tplc="FEEE8836">
      <w:start w:val="1"/>
      <w:numFmt w:val="lowerLetter"/>
      <w:lvlText w:val="%1."/>
      <w:lvlJc w:val="left"/>
      <w:pPr>
        <w:ind w:left="928" w:hanging="360"/>
      </w:pPr>
      <w:rPr>
        <w:rFonts w:ascii="Times New Roman" w:eastAsia="Times New Roman" w:hAnsi="Times New Roman" w:cs="Times New Roman"/>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2" w15:restartNumberingAfterBreak="0">
    <w:nsid w:val="3A713876"/>
    <w:multiLevelType w:val="multilevel"/>
    <w:tmpl w:val="9BE2C5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E951D4D"/>
    <w:multiLevelType w:val="multilevel"/>
    <w:tmpl w:val="9614087C"/>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4" w15:restartNumberingAfterBreak="0">
    <w:nsid w:val="43642098"/>
    <w:multiLevelType w:val="multilevel"/>
    <w:tmpl w:val="5D3E88B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3CD4371"/>
    <w:multiLevelType w:val="multilevel"/>
    <w:tmpl w:val="77EC313E"/>
    <w:lvl w:ilvl="0">
      <w:start w:val="1"/>
      <w:numFmt w:val="bullet"/>
      <w:lvlText w:val=""/>
      <w:lvlJc w:val="left"/>
      <w:pPr>
        <w:ind w:left="2520" w:hanging="360"/>
      </w:pPr>
      <w:rPr>
        <w:rFonts w:ascii="Symbol" w:hAnsi="Symbol" w:hint="default"/>
        <w:u w:val="none"/>
      </w:rPr>
    </w:lvl>
    <w:lvl w:ilvl="1">
      <w:start w:val="1"/>
      <w:numFmt w:val="lowerRoman"/>
      <w:lvlText w:val="%2."/>
      <w:lvlJc w:val="right"/>
      <w:pPr>
        <w:ind w:left="3240" w:hanging="360"/>
      </w:pPr>
      <w:rPr>
        <w:u w:val="none"/>
      </w:rPr>
    </w:lvl>
    <w:lvl w:ilvl="2">
      <w:start w:val="1"/>
      <w:numFmt w:val="decimal"/>
      <w:lvlText w:val="%3."/>
      <w:lvlJc w:val="left"/>
      <w:pPr>
        <w:ind w:left="3960" w:hanging="360"/>
      </w:pPr>
      <w:rPr>
        <w:u w:val="none"/>
      </w:rPr>
    </w:lvl>
    <w:lvl w:ilvl="3">
      <w:start w:val="1"/>
      <w:numFmt w:val="lowerLetter"/>
      <w:lvlText w:val="%4."/>
      <w:lvlJc w:val="left"/>
      <w:pPr>
        <w:ind w:left="4680" w:hanging="360"/>
      </w:pPr>
      <w:rPr>
        <w:u w:val="none"/>
      </w:rPr>
    </w:lvl>
    <w:lvl w:ilvl="4">
      <w:start w:val="1"/>
      <w:numFmt w:val="lowerRoman"/>
      <w:lvlText w:val="%5."/>
      <w:lvlJc w:val="right"/>
      <w:pPr>
        <w:ind w:left="5400" w:hanging="360"/>
      </w:pPr>
      <w:rPr>
        <w:u w:val="none"/>
      </w:rPr>
    </w:lvl>
    <w:lvl w:ilvl="5">
      <w:start w:val="1"/>
      <w:numFmt w:val="decimal"/>
      <w:lvlText w:val="%6."/>
      <w:lvlJc w:val="left"/>
      <w:pPr>
        <w:ind w:left="6120" w:hanging="360"/>
      </w:pPr>
      <w:rPr>
        <w:u w:val="none"/>
      </w:rPr>
    </w:lvl>
    <w:lvl w:ilvl="6">
      <w:start w:val="1"/>
      <w:numFmt w:val="lowerLetter"/>
      <w:lvlText w:val="%7."/>
      <w:lvlJc w:val="left"/>
      <w:pPr>
        <w:ind w:left="6840" w:hanging="360"/>
      </w:pPr>
      <w:rPr>
        <w:u w:val="none"/>
      </w:rPr>
    </w:lvl>
    <w:lvl w:ilvl="7">
      <w:start w:val="1"/>
      <w:numFmt w:val="lowerRoman"/>
      <w:lvlText w:val="%8."/>
      <w:lvlJc w:val="right"/>
      <w:pPr>
        <w:ind w:left="7560" w:hanging="360"/>
      </w:pPr>
      <w:rPr>
        <w:u w:val="none"/>
      </w:rPr>
    </w:lvl>
    <w:lvl w:ilvl="8">
      <w:start w:val="1"/>
      <w:numFmt w:val="decimal"/>
      <w:lvlText w:val="%9."/>
      <w:lvlJc w:val="left"/>
      <w:pPr>
        <w:ind w:left="8280" w:hanging="360"/>
      </w:pPr>
      <w:rPr>
        <w:u w:val="none"/>
      </w:rPr>
    </w:lvl>
  </w:abstractNum>
  <w:abstractNum w:abstractNumId="16" w15:restartNumberingAfterBreak="0">
    <w:nsid w:val="46A739B3"/>
    <w:multiLevelType w:val="hybridMultilevel"/>
    <w:tmpl w:val="F196A892"/>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17" w15:restartNumberingAfterBreak="0">
    <w:nsid w:val="4D447C8E"/>
    <w:multiLevelType w:val="multilevel"/>
    <w:tmpl w:val="027A72B0"/>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55625444"/>
    <w:multiLevelType w:val="multilevel"/>
    <w:tmpl w:val="32262FE6"/>
    <w:lvl w:ilvl="0">
      <w:start w:val="1"/>
      <w:numFmt w:val="bullet"/>
      <w:lvlText w:val=""/>
      <w:lvlJc w:val="left"/>
      <w:pPr>
        <w:ind w:left="1800" w:hanging="360"/>
      </w:pPr>
      <w:rPr>
        <w:rFonts w:ascii="Symbol" w:hAnsi="Symbo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56937F32"/>
    <w:multiLevelType w:val="multilevel"/>
    <w:tmpl w:val="046E4E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916" w:hanging="720"/>
      </w:pPr>
      <w:rPr>
        <w:rFonts w:hint="default"/>
      </w:rPr>
    </w:lvl>
    <w:lvl w:ilvl="3">
      <w:start w:val="1"/>
      <w:numFmt w:val="decimal"/>
      <w:isLgl/>
      <w:lvlText w:val="%1.%2.%3.%4."/>
      <w:lvlJc w:val="left"/>
      <w:pPr>
        <w:ind w:left="3276"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4356" w:hanging="1080"/>
      </w:pPr>
      <w:rPr>
        <w:rFonts w:hint="default"/>
      </w:rPr>
    </w:lvl>
    <w:lvl w:ilvl="6">
      <w:start w:val="1"/>
      <w:numFmt w:val="decimal"/>
      <w:isLgl/>
      <w:lvlText w:val="%1.%2.%3.%4.%5.%6.%7."/>
      <w:lvlJc w:val="left"/>
      <w:pPr>
        <w:ind w:left="5076" w:hanging="1440"/>
      </w:pPr>
      <w:rPr>
        <w:rFonts w:hint="default"/>
      </w:rPr>
    </w:lvl>
    <w:lvl w:ilvl="7">
      <w:start w:val="1"/>
      <w:numFmt w:val="decimal"/>
      <w:isLgl/>
      <w:lvlText w:val="%1.%2.%3.%4.%5.%6.%7.%8."/>
      <w:lvlJc w:val="left"/>
      <w:pPr>
        <w:ind w:left="5436" w:hanging="1440"/>
      </w:pPr>
      <w:rPr>
        <w:rFonts w:hint="default"/>
      </w:rPr>
    </w:lvl>
    <w:lvl w:ilvl="8">
      <w:start w:val="1"/>
      <w:numFmt w:val="decimal"/>
      <w:isLgl/>
      <w:lvlText w:val="%1.%2.%3.%4.%5.%6.%7.%8.%9."/>
      <w:lvlJc w:val="left"/>
      <w:pPr>
        <w:ind w:left="6156" w:hanging="1800"/>
      </w:pPr>
      <w:rPr>
        <w:rFonts w:hint="default"/>
      </w:rPr>
    </w:lvl>
  </w:abstractNum>
  <w:abstractNum w:abstractNumId="20" w15:restartNumberingAfterBreak="0">
    <w:nsid w:val="5F3A761B"/>
    <w:multiLevelType w:val="multilevel"/>
    <w:tmpl w:val="58D081F6"/>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1" w15:restartNumberingAfterBreak="0">
    <w:nsid w:val="665A4F98"/>
    <w:multiLevelType w:val="hybridMultilevel"/>
    <w:tmpl w:val="6380AFAE"/>
    <w:lvl w:ilvl="0" w:tplc="38090001">
      <w:start w:val="1"/>
      <w:numFmt w:val="bullet"/>
      <w:lvlText w:val=""/>
      <w:lvlJc w:val="left"/>
      <w:pPr>
        <w:ind w:left="644" w:hanging="360"/>
      </w:pPr>
      <w:rPr>
        <w:rFonts w:ascii="Symbol" w:hAnsi="Symbol"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22" w15:restartNumberingAfterBreak="0">
    <w:nsid w:val="6BBF5F1E"/>
    <w:multiLevelType w:val="multilevel"/>
    <w:tmpl w:val="93EAF3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759816BB"/>
    <w:multiLevelType w:val="multilevel"/>
    <w:tmpl w:val="6B806FD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783D14EC"/>
    <w:multiLevelType w:val="multilevel"/>
    <w:tmpl w:val="9F6EE72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5" w15:restartNumberingAfterBreak="0">
    <w:nsid w:val="7B4253A3"/>
    <w:multiLevelType w:val="multilevel"/>
    <w:tmpl w:val="D0CC9E00"/>
    <w:lvl w:ilvl="0">
      <w:start w:val="1"/>
      <w:numFmt w:val="decimal"/>
      <w:lvlText w:val="%1."/>
      <w:lvlJc w:val="left"/>
      <w:pPr>
        <w:ind w:left="1800" w:hanging="360"/>
      </w:pPr>
      <w:rPr>
        <w:rFonts w:ascii="Times New Roman" w:eastAsia="Times New Roman" w:hAnsi="Times New Roman" w:cs="Times New Roman"/>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09711102">
    <w:abstractNumId w:val="24"/>
  </w:num>
  <w:num w:numId="2" w16cid:durableId="926160701">
    <w:abstractNumId w:val="10"/>
  </w:num>
  <w:num w:numId="3" w16cid:durableId="850025314">
    <w:abstractNumId w:val="3"/>
  </w:num>
  <w:num w:numId="4" w16cid:durableId="1959992669">
    <w:abstractNumId w:val="13"/>
  </w:num>
  <w:num w:numId="5" w16cid:durableId="1953825357">
    <w:abstractNumId w:val="25"/>
  </w:num>
  <w:num w:numId="6" w16cid:durableId="769012793">
    <w:abstractNumId w:val="20"/>
  </w:num>
  <w:num w:numId="7" w16cid:durableId="2096126758">
    <w:abstractNumId w:val="6"/>
  </w:num>
  <w:num w:numId="8" w16cid:durableId="377239358">
    <w:abstractNumId w:val="23"/>
  </w:num>
  <w:num w:numId="9" w16cid:durableId="1300528699">
    <w:abstractNumId w:val="14"/>
  </w:num>
  <w:num w:numId="10" w16cid:durableId="649821921">
    <w:abstractNumId w:val="1"/>
  </w:num>
  <w:num w:numId="11" w16cid:durableId="1687977113">
    <w:abstractNumId w:val="12"/>
  </w:num>
  <w:num w:numId="12" w16cid:durableId="1630626844">
    <w:abstractNumId w:val="22"/>
  </w:num>
  <w:num w:numId="13" w16cid:durableId="612635941">
    <w:abstractNumId w:val="2"/>
  </w:num>
  <w:num w:numId="14" w16cid:durableId="491068735">
    <w:abstractNumId w:val="19"/>
  </w:num>
  <w:num w:numId="15" w16cid:durableId="1880626483">
    <w:abstractNumId w:val="0"/>
  </w:num>
  <w:num w:numId="16" w16cid:durableId="125316023">
    <w:abstractNumId w:val="15"/>
  </w:num>
  <w:num w:numId="17" w16cid:durableId="1883706442">
    <w:abstractNumId w:val="18"/>
  </w:num>
  <w:num w:numId="18" w16cid:durableId="237175748">
    <w:abstractNumId w:val="8"/>
  </w:num>
  <w:num w:numId="19" w16cid:durableId="1991014999">
    <w:abstractNumId w:val="4"/>
  </w:num>
  <w:num w:numId="20" w16cid:durableId="171654022">
    <w:abstractNumId w:val="16"/>
  </w:num>
  <w:num w:numId="21" w16cid:durableId="854152207">
    <w:abstractNumId w:val="17"/>
  </w:num>
  <w:num w:numId="22" w16cid:durableId="121384660">
    <w:abstractNumId w:val="7"/>
  </w:num>
  <w:num w:numId="23" w16cid:durableId="136537082">
    <w:abstractNumId w:val="9"/>
  </w:num>
  <w:num w:numId="24" w16cid:durableId="2064523546">
    <w:abstractNumId w:val="5"/>
  </w:num>
  <w:num w:numId="25" w16cid:durableId="210074646">
    <w:abstractNumId w:val="11"/>
  </w:num>
  <w:num w:numId="26" w16cid:durableId="10666090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A2A"/>
    <w:rsid w:val="0001136B"/>
    <w:rsid w:val="00024925"/>
    <w:rsid w:val="000278C3"/>
    <w:rsid w:val="00033F5A"/>
    <w:rsid w:val="000402C8"/>
    <w:rsid w:val="00071E03"/>
    <w:rsid w:val="000A4233"/>
    <w:rsid w:val="00103D0D"/>
    <w:rsid w:val="0011096A"/>
    <w:rsid w:val="001324A0"/>
    <w:rsid w:val="0013743F"/>
    <w:rsid w:val="001A2675"/>
    <w:rsid w:val="001D0776"/>
    <w:rsid w:val="00200CF0"/>
    <w:rsid w:val="00241793"/>
    <w:rsid w:val="00296119"/>
    <w:rsid w:val="002A3E20"/>
    <w:rsid w:val="00327AC7"/>
    <w:rsid w:val="003350E4"/>
    <w:rsid w:val="0034338F"/>
    <w:rsid w:val="00355633"/>
    <w:rsid w:val="003D0864"/>
    <w:rsid w:val="003E1D6D"/>
    <w:rsid w:val="003E2F49"/>
    <w:rsid w:val="003F03BA"/>
    <w:rsid w:val="00412505"/>
    <w:rsid w:val="00431E3B"/>
    <w:rsid w:val="004864AB"/>
    <w:rsid w:val="004C22C5"/>
    <w:rsid w:val="004F181F"/>
    <w:rsid w:val="0058604F"/>
    <w:rsid w:val="00596A2A"/>
    <w:rsid w:val="005B7815"/>
    <w:rsid w:val="005F183F"/>
    <w:rsid w:val="005F6076"/>
    <w:rsid w:val="006A3EB1"/>
    <w:rsid w:val="006B5B0C"/>
    <w:rsid w:val="00712E6F"/>
    <w:rsid w:val="00723559"/>
    <w:rsid w:val="00741F46"/>
    <w:rsid w:val="0075200C"/>
    <w:rsid w:val="007E1F71"/>
    <w:rsid w:val="008213EB"/>
    <w:rsid w:val="00883B02"/>
    <w:rsid w:val="008904EE"/>
    <w:rsid w:val="008D46D1"/>
    <w:rsid w:val="008E55D5"/>
    <w:rsid w:val="00926B3D"/>
    <w:rsid w:val="0093119A"/>
    <w:rsid w:val="00953F43"/>
    <w:rsid w:val="0098594D"/>
    <w:rsid w:val="009A647D"/>
    <w:rsid w:val="009E3AF1"/>
    <w:rsid w:val="009E5BD5"/>
    <w:rsid w:val="009F0333"/>
    <w:rsid w:val="00A137EF"/>
    <w:rsid w:val="00AA4BAA"/>
    <w:rsid w:val="00AB7066"/>
    <w:rsid w:val="00AC4A82"/>
    <w:rsid w:val="00B61922"/>
    <w:rsid w:val="00B702BF"/>
    <w:rsid w:val="00B70334"/>
    <w:rsid w:val="00BB0434"/>
    <w:rsid w:val="00BC4868"/>
    <w:rsid w:val="00BE081F"/>
    <w:rsid w:val="00C02F5B"/>
    <w:rsid w:val="00C25E21"/>
    <w:rsid w:val="00C843C3"/>
    <w:rsid w:val="00CD6B59"/>
    <w:rsid w:val="00CE4157"/>
    <w:rsid w:val="00D87938"/>
    <w:rsid w:val="00E075C2"/>
    <w:rsid w:val="00E314F6"/>
    <w:rsid w:val="00EA007A"/>
    <w:rsid w:val="00EB23CC"/>
    <w:rsid w:val="00ED0697"/>
    <w:rsid w:val="00EE57B2"/>
    <w:rsid w:val="00F76552"/>
    <w:rsid w:val="00F83E3B"/>
    <w:rsid w:val="00FB3142"/>
    <w:rsid w:val="00FC24D7"/>
    <w:rsid w:val="00FD59EE"/>
    <w:rsid w:val="00FE5CE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55C94"/>
  <w15:docId w15:val="{98A8B24D-C74A-4A71-BC4D-3A12F1EDC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TMLPreformatted">
    <w:name w:val="HTML Preformatted"/>
    <w:basedOn w:val="Normal"/>
    <w:link w:val="HTMLPreformattedChar"/>
    <w:uiPriority w:val="99"/>
    <w:semiHidden/>
    <w:unhideWhenUsed/>
    <w:rsid w:val="003350E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350E4"/>
    <w:rPr>
      <w:rFonts w:ascii="Consolas" w:hAnsi="Consolas"/>
      <w:sz w:val="20"/>
      <w:szCs w:val="20"/>
    </w:rPr>
  </w:style>
  <w:style w:type="paragraph" w:styleId="ListParagraph">
    <w:name w:val="List Paragraph"/>
    <w:basedOn w:val="Normal"/>
    <w:uiPriority w:val="34"/>
    <w:qFormat/>
    <w:rsid w:val="00200CF0"/>
    <w:pPr>
      <w:ind w:left="720"/>
      <w:contextualSpacing/>
    </w:pPr>
  </w:style>
  <w:style w:type="paragraph" w:styleId="FootnoteText">
    <w:name w:val="footnote text"/>
    <w:basedOn w:val="Normal"/>
    <w:link w:val="FootnoteTextChar"/>
    <w:uiPriority w:val="99"/>
    <w:semiHidden/>
    <w:unhideWhenUsed/>
    <w:rsid w:val="00CD6B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6B59"/>
    <w:rPr>
      <w:sz w:val="20"/>
      <w:szCs w:val="20"/>
    </w:rPr>
  </w:style>
  <w:style w:type="character" w:styleId="FootnoteReference">
    <w:name w:val="footnote reference"/>
    <w:basedOn w:val="DefaultParagraphFont"/>
    <w:uiPriority w:val="99"/>
    <w:semiHidden/>
    <w:unhideWhenUsed/>
    <w:rsid w:val="00CD6B59"/>
    <w:rPr>
      <w:vertAlign w:val="superscript"/>
    </w:rPr>
  </w:style>
  <w:style w:type="paragraph" w:styleId="Header">
    <w:name w:val="header"/>
    <w:basedOn w:val="Normal"/>
    <w:link w:val="HeaderChar"/>
    <w:uiPriority w:val="99"/>
    <w:unhideWhenUsed/>
    <w:rsid w:val="00712E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E6F"/>
  </w:style>
  <w:style w:type="paragraph" w:styleId="Footer">
    <w:name w:val="footer"/>
    <w:basedOn w:val="Normal"/>
    <w:link w:val="FooterChar"/>
    <w:uiPriority w:val="99"/>
    <w:unhideWhenUsed/>
    <w:rsid w:val="00712E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893142">
      <w:bodyDiv w:val="1"/>
      <w:marLeft w:val="0"/>
      <w:marRight w:val="0"/>
      <w:marTop w:val="0"/>
      <w:marBottom w:val="0"/>
      <w:divBdr>
        <w:top w:val="none" w:sz="0" w:space="0" w:color="auto"/>
        <w:left w:val="none" w:sz="0" w:space="0" w:color="auto"/>
        <w:bottom w:val="none" w:sz="0" w:space="0" w:color="auto"/>
        <w:right w:val="none" w:sz="0" w:space="0" w:color="auto"/>
      </w:divBdr>
    </w:div>
    <w:div w:id="1019506788">
      <w:bodyDiv w:val="1"/>
      <w:marLeft w:val="0"/>
      <w:marRight w:val="0"/>
      <w:marTop w:val="0"/>
      <w:marBottom w:val="0"/>
      <w:divBdr>
        <w:top w:val="none" w:sz="0" w:space="0" w:color="auto"/>
        <w:left w:val="none" w:sz="0" w:space="0" w:color="auto"/>
        <w:bottom w:val="none" w:sz="0" w:space="0" w:color="auto"/>
        <w:right w:val="none" w:sz="0" w:space="0" w:color="auto"/>
      </w:divBdr>
    </w:div>
    <w:div w:id="1033112414">
      <w:bodyDiv w:val="1"/>
      <w:marLeft w:val="0"/>
      <w:marRight w:val="0"/>
      <w:marTop w:val="0"/>
      <w:marBottom w:val="0"/>
      <w:divBdr>
        <w:top w:val="none" w:sz="0" w:space="0" w:color="auto"/>
        <w:left w:val="none" w:sz="0" w:space="0" w:color="auto"/>
        <w:bottom w:val="none" w:sz="0" w:space="0" w:color="auto"/>
        <w:right w:val="none" w:sz="0" w:space="0" w:color="auto"/>
      </w:divBdr>
    </w:div>
    <w:div w:id="1046878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91A07-8D9C-4522-8A03-581E7477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12036</Words>
  <Characters>68606</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 sn80023</cp:lastModifiedBy>
  <cp:revision>6</cp:revision>
  <dcterms:created xsi:type="dcterms:W3CDTF">2025-01-17T06:07:00Z</dcterms:created>
  <dcterms:modified xsi:type="dcterms:W3CDTF">2026-10-18T04:23:00Z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c6a36cf7-469c-3ca1-a528-0bf40d446370</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