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BC497" w14:textId="29402948" w:rsidR="00C347E7" w:rsidRDefault="00C347E7" w:rsidP="00914CFC">
      <w:pPr>
        <w:ind w:firstLine="199"/>
        <w:rPr>
          <w:color w:val="000000"/>
        </w:rPr>
      </w:pPr>
      <w:r w:rsidRPr="00C347E7">
        <w:rPr>
          <w:noProof/>
          <w:color w:val="000000"/>
        </w:rPr>
        <mc:AlternateContent>
          <mc:Choice Requires="wps">
            <w:drawing>
              <wp:anchor distT="45720" distB="45720" distL="114300" distR="114300" simplePos="0" relativeHeight="251660288" behindDoc="0" locked="0" layoutInCell="1" allowOverlap="1" wp14:anchorId="5A289FCD" wp14:editId="4EC13F81">
                <wp:simplePos x="0" y="0"/>
                <wp:positionH relativeFrom="column">
                  <wp:posOffset>3084830</wp:posOffset>
                </wp:positionH>
                <wp:positionV relativeFrom="paragraph">
                  <wp:posOffset>-20955</wp:posOffset>
                </wp:positionV>
                <wp:extent cx="2994660" cy="6705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670560"/>
                        </a:xfrm>
                        <a:prstGeom prst="rect">
                          <a:avLst/>
                        </a:prstGeom>
                        <a:noFill/>
                        <a:ln w="9525">
                          <a:noFill/>
                          <a:miter lim="800000"/>
                          <a:headEnd/>
                          <a:tailEnd/>
                        </a:ln>
                      </wps:spPr>
                      <wps:txbx>
                        <w:txbxContent>
                          <w:p w14:paraId="79BC7131" w14:textId="6F7601B4" w:rsidR="00C347E7" w:rsidRPr="00C347E7" w:rsidRDefault="00C347E7" w:rsidP="002764B1">
                            <w:pPr>
                              <w:rPr>
                                <w:rFonts w:ascii="Book Antiqua" w:hAnsi="Book Antiqua"/>
                                <w:b/>
                                <w:bCs/>
                                <w:sz w:val="22"/>
                                <w:szCs w:val="22"/>
                              </w:rPr>
                            </w:pPr>
                            <w:r w:rsidRPr="00C347E7">
                              <w:rPr>
                                <w:rFonts w:ascii="Book Antiqua" w:hAnsi="Book Antiqua"/>
                                <w:b/>
                                <w:bCs/>
                                <w:sz w:val="22"/>
                                <w:szCs w:val="22"/>
                              </w:rPr>
                              <w:t>Journal of Islamic Economics and Business</w:t>
                            </w:r>
                            <w:r w:rsidRPr="00C347E7">
                              <w:rPr>
                                <w:rFonts w:ascii="Book Antiqua" w:hAnsi="Book Antiqua"/>
                                <w:b/>
                                <w:bCs/>
                                <w:sz w:val="22"/>
                                <w:szCs w:val="22"/>
                              </w:rPr>
                              <w:br/>
                              <w:t xml:space="preserve">DOI: </w:t>
                            </w:r>
                            <w:r w:rsidR="002764B1" w:rsidRPr="002764B1">
                              <w:rPr>
                                <w:rFonts w:ascii="Book Antiqua" w:hAnsi="Book Antiqua"/>
                                <w:b/>
                                <w:bCs/>
                                <w:sz w:val="22"/>
                                <w:szCs w:val="22"/>
                              </w:rPr>
                              <w:t>https://doi.org/10.24260/</w:t>
                            </w:r>
                            <w:r w:rsidRPr="00C347E7">
                              <w:rPr>
                                <w:rFonts w:ascii="Book Antiqua" w:hAnsi="Book Antiqua"/>
                                <w:b/>
                                <w:bCs/>
                                <w:sz w:val="22"/>
                                <w:szCs w:val="22"/>
                              </w:rPr>
                              <w:br/>
                            </w:r>
                            <w:r w:rsidR="002764B1">
                              <w:rPr>
                                <w:rFonts w:ascii="Book Antiqua" w:hAnsi="Book Antiqua"/>
                                <w:b/>
                                <w:bCs/>
                                <w:sz w:val="22"/>
                                <w:szCs w:val="22"/>
                              </w:rPr>
                              <w:t>e-issn</w:t>
                            </w:r>
                            <w:r w:rsidRPr="00C347E7">
                              <w:rPr>
                                <w:rFonts w:ascii="Book Antiqua" w:hAnsi="Book Antiqua"/>
                                <w:b/>
                                <w:bCs/>
                                <w:sz w:val="22"/>
                                <w:szCs w:val="22"/>
                              </w:rPr>
                              <w:t>:</w:t>
                            </w:r>
                            <w:r w:rsidR="002764B1">
                              <w:rPr>
                                <w:rFonts w:ascii="Book Antiqua" w:hAnsi="Book Antiqua"/>
                                <w:b/>
                                <w:bCs/>
                                <w:sz w:val="22"/>
                                <w:szCs w:val="22"/>
                              </w:rPr>
                              <w:t xml:space="preserve"> </w:t>
                            </w:r>
                            <w:hyperlink r:id="rId8" w:history="1">
                              <w:r w:rsidR="002764B1" w:rsidRPr="002764B1">
                                <w:rPr>
                                  <w:rStyle w:val="Hyperlink"/>
                                  <w:rFonts w:ascii="Book Antiqua" w:hAnsi="Book Antiqua"/>
                                  <w:b/>
                                  <w:bCs/>
                                  <w:sz w:val="22"/>
                                  <w:szCs w:val="22"/>
                                  <w:u w:val="none"/>
                                </w:rPr>
                                <w:t>2745-4762</w:t>
                              </w:r>
                            </w:hyperlink>
                            <w:r w:rsidR="002764B1">
                              <w:rPr>
                                <w:rFonts w:ascii="Book Antiqua" w:hAnsi="Book Antiqua"/>
                                <w:b/>
                                <w:bCs/>
                                <w:sz w:val="22"/>
                                <w:szCs w:val="22"/>
                              </w:rPr>
                              <w:t xml:space="preserve"> p-issn: </w:t>
                            </w:r>
                            <w:hyperlink r:id="rId9" w:history="1">
                              <w:r w:rsidR="002764B1" w:rsidRPr="002764B1">
                                <w:rPr>
                                  <w:rStyle w:val="Hyperlink"/>
                                  <w:rFonts w:ascii="Book Antiqua" w:hAnsi="Book Antiqua"/>
                                  <w:b/>
                                  <w:bCs/>
                                  <w:sz w:val="22"/>
                                  <w:szCs w:val="22"/>
                                  <w:u w:val="none"/>
                                </w:rPr>
                                <w:t>2745-5874</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289FCD" id="_x0000_t202" coordsize="21600,21600" o:spt="202" path="m,l,21600r21600,l21600,xe">
                <v:stroke joinstyle="miter"/>
                <v:path gradientshapeok="t" o:connecttype="rect"/>
              </v:shapetype>
              <v:shape id="Text Box 2" o:spid="_x0000_s1026" type="#_x0000_t202" style="position:absolute;left:0;text-align:left;margin-left:242.9pt;margin-top:-1.65pt;width:235.8pt;height:52.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" filled="f" stroked="f">
                <v:textbox>
                  <w:txbxContent>
                    <w:p w14:paraId="79BC7131" w14:textId="6F7601B4" w:rsidR="00C347E7" w:rsidRPr="00C347E7" w:rsidRDefault="00C347E7" w:rsidP="002764B1">
                      <w:pPr>
                        <w:rPr>
                          <w:rFonts w:ascii="Book Antiqua" w:hAnsi="Book Antiqua"/>
                          <w:b/>
                          <w:bCs/>
                          <w:sz w:val="22"/>
                          <w:szCs w:val="22"/>
                        </w:rPr>
                      </w:pPr>
                      <w:r w:rsidRPr="00C347E7">
                        <w:rPr>
                          <w:rFonts w:ascii="Book Antiqua" w:hAnsi="Book Antiqua"/>
                          <w:b/>
                          <w:bCs/>
                          <w:sz w:val="22"/>
                          <w:szCs w:val="22"/>
                        </w:rPr>
                        <w:t>Journal of Islamic Economics and Business</w:t>
                      </w:r>
                      <w:r w:rsidRPr="00C347E7">
                        <w:rPr>
                          <w:rFonts w:ascii="Book Antiqua" w:hAnsi="Book Antiqua"/>
                          <w:b/>
                          <w:bCs/>
                          <w:sz w:val="22"/>
                          <w:szCs w:val="22"/>
                        </w:rPr>
                        <w:br/>
                        <w:t xml:space="preserve">DOI: </w:t>
                      </w:r>
                      <w:r w:rsidR="002764B1" w:rsidRPr="002764B1">
                        <w:rPr>
                          <w:rFonts w:ascii="Book Antiqua" w:hAnsi="Book Antiqua"/>
                          <w:b/>
                          <w:bCs/>
                          <w:sz w:val="22"/>
                          <w:szCs w:val="22"/>
                        </w:rPr>
                        <w:t>https://doi.org/10.24260/</w:t>
                      </w:r>
                      <w:r w:rsidRPr="00C347E7">
                        <w:rPr>
                          <w:rFonts w:ascii="Book Antiqua" w:hAnsi="Book Antiqua"/>
                          <w:b/>
                          <w:bCs/>
                          <w:sz w:val="22"/>
                          <w:szCs w:val="22"/>
                        </w:rPr>
                        <w:br/>
                      </w:r>
                      <w:r w:rsidR="002764B1">
                        <w:rPr>
                          <w:rFonts w:ascii="Book Antiqua" w:hAnsi="Book Antiqua"/>
                          <w:b/>
                          <w:bCs/>
                          <w:sz w:val="22"/>
                          <w:szCs w:val="22"/>
                        </w:rPr>
                        <w:t>e-issn</w:t>
                      </w:r>
                      <w:r w:rsidRPr="00C347E7">
                        <w:rPr>
                          <w:rFonts w:ascii="Book Antiqua" w:hAnsi="Book Antiqua"/>
                          <w:b/>
                          <w:bCs/>
                          <w:sz w:val="22"/>
                          <w:szCs w:val="22"/>
                        </w:rPr>
                        <w:t>:</w:t>
                      </w:r>
                      <w:r w:rsidR="002764B1">
                        <w:rPr>
                          <w:rFonts w:ascii="Book Antiqua" w:hAnsi="Book Antiqua"/>
                          <w:b/>
                          <w:bCs/>
                          <w:sz w:val="22"/>
                          <w:szCs w:val="22"/>
                        </w:rPr>
                        <w:t xml:space="preserve"> </w:t>
                      </w:r>
                      <w:hyperlink r:id="rId10" w:history="1">
                        <w:r w:rsidR="002764B1" w:rsidRPr="002764B1">
                          <w:rPr>
                            <w:rStyle w:val="Hyperlink"/>
                            <w:rFonts w:ascii="Book Antiqua" w:hAnsi="Book Antiqua"/>
                            <w:b/>
                            <w:bCs/>
                            <w:sz w:val="22"/>
                            <w:szCs w:val="22"/>
                            <w:u w:val="none"/>
                          </w:rPr>
                          <w:t>2745-4762</w:t>
                        </w:r>
                      </w:hyperlink>
                      <w:r w:rsidR="002764B1">
                        <w:rPr>
                          <w:rFonts w:ascii="Book Antiqua" w:hAnsi="Book Antiqua"/>
                          <w:b/>
                          <w:bCs/>
                          <w:sz w:val="22"/>
                          <w:szCs w:val="22"/>
                        </w:rPr>
                        <w:t xml:space="preserve"> p-issn: </w:t>
                      </w:r>
                      <w:hyperlink r:id="rId11" w:history="1">
                        <w:r w:rsidR="002764B1" w:rsidRPr="002764B1">
                          <w:rPr>
                            <w:rStyle w:val="Hyperlink"/>
                            <w:rFonts w:ascii="Book Antiqua" w:hAnsi="Book Antiqua"/>
                            <w:b/>
                            <w:bCs/>
                            <w:sz w:val="22"/>
                            <w:szCs w:val="22"/>
                            <w:u w:val="none"/>
                          </w:rPr>
                          <w:t>2745-5874</w:t>
                        </w:r>
                      </w:hyperlink>
                    </w:p>
                  </w:txbxContent>
                </v:textbox>
              </v:shape>
            </w:pict>
          </mc:Fallback>
        </mc:AlternateContent>
      </w:r>
      <w:r>
        <w:rPr>
          <w:noProof/>
          <w:color w:val="000000"/>
        </w:rPr>
        <w:drawing>
          <wp:anchor distT="0" distB="0" distL="114300" distR="114300" simplePos="0" relativeHeight="251658240" behindDoc="0" locked="0" layoutInCell="1" allowOverlap="1" wp14:anchorId="0BC1E0EE" wp14:editId="0ED75081">
            <wp:simplePos x="0" y="0"/>
            <wp:positionH relativeFrom="column">
              <wp:posOffset>-39370</wp:posOffset>
            </wp:positionH>
            <wp:positionV relativeFrom="paragraph">
              <wp:posOffset>-97155</wp:posOffset>
            </wp:positionV>
            <wp:extent cx="3043986" cy="754380"/>
            <wp:effectExtent l="0" t="0" r="0" b="0"/>
            <wp:wrapNone/>
            <wp:docPr id="1601013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193" cy="7554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6CBBC9" w14:textId="7C1FBDB2" w:rsidR="00C347E7" w:rsidRDefault="00C347E7" w:rsidP="00914CFC">
      <w:pPr>
        <w:ind w:firstLine="199"/>
        <w:rPr>
          <w:color w:val="000000"/>
        </w:rPr>
      </w:pPr>
    </w:p>
    <w:p w14:paraId="17B15ED6" w14:textId="275EF041" w:rsidR="00914CFC" w:rsidRDefault="00914CFC" w:rsidP="00914CFC">
      <w:pPr>
        <w:ind w:firstLine="199"/>
        <w:rPr>
          <w:color w:val="000000"/>
        </w:rPr>
      </w:pPr>
    </w:p>
    <w:p w14:paraId="421F791E" w14:textId="77777777" w:rsidR="00C347E7" w:rsidRDefault="00C347E7" w:rsidP="00914CFC">
      <w:pPr>
        <w:ind w:firstLine="199"/>
        <w:jc w:val="center"/>
        <w:rPr>
          <w:b/>
          <w:bCs/>
          <w:color w:val="000000"/>
          <w:sz w:val="28"/>
          <w:szCs w:val="28"/>
        </w:rPr>
      </w:pPr>
    </w:p>
    <w:p w14:paraId="002092E6" w14:textId="77777777" w:rsidR="00CA211C" w:rsidRDefault="00CA211C" w:rsidP="00914CFC">
      <w:pPr>
        <w:ind w:firstLine="199"/>
        <w:jc w:val="center"/>
        <w:rPr>
          <w:rFonts w:ascii="Book Antiqua" w:hAnsi="Book Antiqua"/>
          <w:b/>
          <w:bCs/>
          <w:color w:val="000000"/>
          <w:sz w:val="28"/>
          <w:szCs w:val="28"/>
        </w:rPr>
      </w:pPr>
    </w:p>
    <w:p w14:paraId="60DDC513" w14:textId="0073A647" w:rsidR="00FB6BE6" w:rsidRPr="00FB6BE6" w:rsidRDefault="00FB6BE6" w:rsidP="00914CFC">
      <w:pPr>
        <w:ind w:firstLine="199"/>
        <w:jc w:val="center"/>
        <w:rPr>
          <w:rFonts w:ascii="Book Antiqua" w:hAnsi="Book Antiqua"/>
          <w:b/>
          <w:bCs/>
          <w:color w:val="000000"/>
          <w:sz w:val="28"/>
          <w:szCs w:val="28"/>
          <w:lang w:val="fi-FI"/>
        </w:rPr>
      </w:pPr>
      <w:r w:rsidRPr="00FB6BE6">
        <w:rPr>
          <w:rFonts w:ascii="Book Antiqua" w:hAnsi="Book Antiqua"/>
          <w:b/>
          <w:bCs/>
          <w:color w:val="000000"/>
          <w:sz w:val="28"/>
          <w:szCs w:val="28"/>
          <w:lang w:val="fi-FI"/>
        </w:rPr>
        <w:t xml:space="preserve">Dinamika Urban Sufisme </w:t>
      </w:r>
      <w:r w:rsidR="00614CC1">
        <w:rPr>
          <w:rFonts w:ascii="Book Antiqua" w:hAnsi="Book Antiqua"/>
          <w:b/>
          <w:bCs/>
          <w:color w:val="000000"/>
          <w:sz w:val="28"/>
          <w:szCs w:val="28"/>
          <w:lang w:val="fi-FI"/>
        </w:rPr>
        <w:t xml:space="preserve">dan Salafi </w:t>
      </w:r>
      <w:r w:rsidRPr="00FB6BE6">
        <w:rPr>
          <w:rFonts w:ascii="Book Antiqua" w:hAnsi="Book Antiqua"/>
          <w:b/>
          <w:bCs/>
          <w:color w:val="000000"/>
          <w:sz w:val="28"/>
          <w:szCs w:val="28"/>
          <w:lang w:val="fi-FI"/>
        </w:rPr>
        <w:t xml:space="preserve">di Era Digital: Implikasinya Terhadap Pergeseran Tren </w:t>
      </w:r>
      <w:r w:rsidRPr="00FB6BE6">
        <w:rPr>
          <w:rFonts w:ascii="Book Antiqua" w:hAnsi="Book Antiqua"/>
          <w:b/>
          <w:bCs/>
          <w:i/>
          <w:iCs/>
          <w:color w:val="000000"/>
          <w:sz w:val="28"/>
          <w:szCs w:val="28"/>
          <w:lang w:val="fi-FI"/>
        </w:rPr>
        <w:t>Halal Lifestyle</w:t>
      </w:r>
      <w:r w:rsidRPr="00FB6BE6">
        <w:rPr>
          <w:rFonts w:ascii="Book Antiqua" w:hAnsi="Book Antiqua"/>
          <w:b/>
          <w:bCs/>
          <w:color w:val="000000"/>
          <w:sz w:val="28"/>
          <w:szCs w:val="28"/>
          <w:lang w:val="fi-FI"/>
        </w:rPr>
        <w:t xml:space="preserve"> Masyarakat Perkotaan</w:t>
      </w:r>
    </w:p>
    <w:p w14:paraId="10EF26F9" w14:textId="77777777" w:rsidR="00440FD7" w:rsidRPr="00C347E7" w:rsidRDefault="00440FD7" w:rsidP="00922853">
      <w:pPr>
        <w:jc w:val="center"/>
        <w:rPr>
          <w:rFonts w:ascii="Book Antiqua" w:hAnsi="Book Antiqua"/>
          <w:color w:val="000000"/>
          <w:sz w:val="36"/>
          <w:szCs w:val="48"/>
          <w:lang w:val="id-ID"/>
        </w:rPr>
      </w:pPr>
    </w:p>
    <w:p w14:paraId="1E868527" w14:textId="1244CEF6" w:rsidR="00744A1F" w:rsidRPr="00083D9C" w:rsidRDefault="000733C8" w:rsidP="00083D9C">
      <w:pPr>
        <w:pStyle w:val="authorname"/>
        <w:ind w:firstLine="199"/>
        <w:jc w:val="center"/>
        <w:rPr>
          <w:rFonts w:ascii="Times New Roman" w:hAnsi="Times New Roman"/>
          <w:color w:val="000000"/>
          <w:sz w:val="22"/>
          <w:szCs w:val="22"/>
          <w:lang w:val="fi-FI"/>
        </w:rPr>
      </w:pPr>
      <w:r w:rsidRPr="000733C8">
        <w:rPr>
          <w:rFonts w:ascii="Times New Roman" w:hAnsi="Times New Roman"/>
          <w:color w:val="000000"/>
          <w:sz w:val="22"/>
          <w:szCs w:val="22"/>
          <w:lang w:val="fi-FI"/>
        </w:rPr>
        <w:t>Muh Tabran</w:t>
      </w:r>
      <w:r w:rsidR="007B0FDC" w:rsidRPr="000733C8">
        <w:rPr>
          <w:rFonts w:ascii="Times New Roman" w:hAnsi="Times New Roman"/>
          <w:color w:val="000000"/>
          <w:sz w:val="22"/>
          <w:szCs w:val="22"/>
          <w:vertAlign w:val="superscript"/>
          <w:lang w:val="fi-FI"/>
        </w:rPr>
        <w:t>,*</w:t>
      </w:r>
    </w:p>
    <w:p w14:paraId="752EBBC7" w14:textId="0DC25589" w:rsidR="00561EF4" w:rsidRPr="00083D9C" w:rsidRDefault="00083D9C" w:rsidP="00083D9C">
      <w:pPr>
        <w:pStyle w:val="authoraffiliation"/>
        <w:ind w:firstLine="199"/>
        <w:jc w:val="center"/>
        <w:rPr>
          <w:rFonts w:ascii="Book Antiqua" w:hAnsi="Book Antiqua"/>
          <w:color w:val="000000"/>
          <w:sz w:val="18"/>
          <w:szCs w:val="20"/>
          <w:lang w:val="fi-FI"/>
        </w:rPr>
      </w:pPr>
      <w:r w:rsidRPr="00083D9C">
        <w:rPr>
          <w:rFonts w:ascii="Times New Roman" w:hAnsi="Times New Roman"/>
          <w:color w:val="000000"/>
          <w:sz w:val="20"/>
          <w:szCs w:val="20"/>
          <w:lang w:val="fi-FI"/>
        </w:rPr>
        <w:t>Universitas Islam Darud Da’wah Wal Isryad A.G.H. Abdurrahman Ambo Dalle (UI DDI AD)</w:t>
      </w:r>
      <w:r w:rsidR="00744A1F" w:rsidRPr="00C347E7">
        <w:rPr>
          <w:rFonts w:ascii="Book Antiqua" w:hAnsi="Book Antiqua"/>
          <w:color w:val="000000"/>
          <w:sz w:val="18"/>
          <w:szCs w:val="20"/>
          <w:lang w:val="fi-FI"/>
        </w:rPr>
        <w:t xml:space="preserve"> </w:t>
      </w:r>
    </w:p>
    <w:p w14:paraId="2BDDD8D0" w14:textId="3FFCFC21" w:rsidR="00FD6C44" w:rsidRPr="00083D9C" w:rsidRDefault="00FD6C44" w:rsidP="00561EF4">
      <w:pPr>
        <w:jc w:val="center"/>
        <w:rPr>
          <w:sz w:val="20"/>
          <w:szCs w:val="20"/>
          <w:lang w:val="fi-FI"/>
        </w:rPr>
      </w:pPr>
      <w:r w:rsidRPr="00083D9C">
        <w:rPr>
          <w:sz w:val="20"/>
          <w:szCs w:val="20"/>
          <w:lang w:val="fi-FI"/>
        </w:rPr>
        <w:t>Corresponding Email*</w:t>
      </w:r>
      <w:r w:rsidR="00083D9C" w:rsidRPr="00083D9C">
        <w:rPr>
          <w:sz w:val="20"/>
          <w:szCs w:val="20"/>
          <w:lang w:val="fi-FI"/>
        </w:rPr>
        <w:t xml:space="preserve"> </w:t>
      </w:r>
      <w:hyperlink r:id="rId13" w:history="1">
        <w:r w:rsidR="00083D9C" w:rsidRPr="00083D9C">
          <w:rPr>
            <w:rStyle w:val="Hyperlink"/>
            <w:sz w:val="20"/>
            <w:szCs w:val="20"/>
            <w:lang w:val="fi-FI"/>
          </w:rPr>
          <w:t>muhtabran04@Gmail.com</w:t>
        </w:r>
      </w:hyperlink>
      <w:r w:rsidR="00083D9C" w:rsidRPr="00083D9C">
        <w:rPr>
          <w:sz w:val="20"/>
          <w:szCs w:val="20"/>
          <w:lang w:val="fi-FI"/>
        </w:rPr>
        <w:t xml:space="preserve"> </w:t>
      </w:r>
    </w:p>
    <w:p w14:paraId="5C1E30EF" w14:textId="77777777" w:rsidR="00F465AB" w:rsidRPr="00083D9C" w:rsidRDefault="00F465AB" w:rsidP="00B812CF">
      <w:pPr>
        <w:spacing w:after="120"/>
        <w:ind w:firstLine="199"/>
        <w:jc w:val="center"/>
        <w:rPr>
          <w:rFonts w:ascii="Book Antiqua" w:hAnsi="Book Antiqua"/>
          <w:color w:val="000000"/>
          <w:sz w:val="20"/>
          <w:szCs w:val="20"/>
          <w:lang w:val="fi-FI"/>
        </w:rPr>
      </w:pPr>
    </w:p>
    <w:tbl>
      <w:tblPr>
        <w:tblW w:w="8507" w:type="dxa"/>
        <w:jc w:val="center"/>
        <w:tblBorders>
          <w:top w:val="single" w:sz="4" w:space="0" w:color="auto"/>
          <w:bottom w:val="single" w:sz="4" w:space="0" w:color="auto"/>
        </w:tblBorders>
        <w:tblLayout w:type="fixed"/>
        <w:tblLook w:val="0400" w:firstRow="0" w:lastRow="0" w:firstColumn="0" w:lastColumn="0" w:noHBand="0" w:noVBand="1"/>
      </w:tblPr>
      <w:tblGrid>
        <w:gridCol w:w="8507"/>
      </w:tblGrid>
      <w:tr w:rsidR="00111E04" w:rsidRPr="00C347E7" w14:paraId="47B56489" w14:textId="77777777" w:rsidTr="00111E04">
        <w:trPr>
          <w:trHeight w:val="461"/>
          <w:tblHeader/>
          <w:jc w:val="center"/>
        </w:trPr>
        <w:tc>
          <w:tcPr>
            <w:tcW w:w="8507" w:type="dxa"/>
            <w:tcBorders>
              <w:top w:val="single" w:sz="4" w:space="0" w:color="auto"/>
              <w:bottom w:val="single" w:sz="4" w:space="0" w:color="auto"/>
            </w:tcBorders>
            <w:shd w:val="clear" w:color="auto" w:fill="FFFFFF"/>
            <w:vAlign w:val="center"/>
          </w:tcPr>
          <w:p w14:paraId="7DFF56E4" w14:textId="77777777" w:rsidR="00111E04" w:rsidRPr="00C347E7" w:rsidRDefault="00111E04" w:rsidP="00A20931">
            <w:pPr>
              <w:rPr>
                <w:rFonts w:ascii="Book Antiqua" w:hAnsi="Book Antiqua"/>
              </w:rPr>
            </w:pPr>
            <w:r w:rsidRPr="00C347E7">
              <w:rPr>
                <w:rFonts w:ascii="Book Antiqua" w:eastAsia="Book Antiqua" w:hAnsi="Book Antiqua" w:cs="Book Antiqua"/>
                <w:b/>
                <w:bCs/>
                <w:color w:val="000000"/>
              </w:rPr>
              <w:t xml:space="preserve">DOI: </w:t>
            </w:r>
          </w:p>
        </w:tc>
      </w:tr>
      <w:tr w:rsidR="00111E04" w:rsidRPr="00C347E7" w14:paraId="034B1C4C" w14:textId="77777777" w:rsidTr="00111E04">
        <w:trPr>
          <w:trHeight w:val="283"/>
          <w:tblHeader/>
          <w:jc w:val="center"/>
        </w:trPr>
        <w:tc>
          <w:tcPr>
            <w:tcW w:w="8507" w:type="dxa"/>
            <w:tcBorders>
              <w:top w:val="single" w:sz="4" w:space="0" w:color="auto"/>
            </w:tcBorders>
            <w:shd w:val="clear" w:color="auto" w:fill="FFFFFF"/>
            <w:vAlign w:val="center"/>
          </w:tcPr>
          <w:p w14:paraId="14DEB16A" w14:textId="77777777" w:rsidR="00111E04" w:rsidRPr="00C347E7" w:rsidRDefault="00111E04" w:rsidP="00A20931">
            <w:pPr>
              <w:rPr>
                <w:rFonts w:ascii="Book Antiqua" w:eastAsia="Book Antiqua" w:hAnsi="Book Antiqua" w:cs="Book Antiqua"/>
                <w:b/>
                <w:bCs/>
              </w:rPr>
            </w:pPr>
            <w:hyperlink r:id="rId14">
              <w:r w:rsidRPr="00C347E7">
                <w:rPr>
                  <w:rFonts w:ascii="Book Antiqua" w:eastAsia="Book Antiqua" w:hAnsi="Book Antiqua" w:cs="Book Antiqua"/>
                  <w:b/>
                  <w:bCs/>
                  <w:noProof/>
                  <w:color w:val="1155CC"/>
                  <w:u w:val="single"/>
                </w:rPr>
                <w:drawing>
                  <wp:inline distT="0" distB="0" distL="0" distR="0" wp14:anchorId="73893A64" wp14:editId="729203AA">
                    <wp:extent cx="1088353" cy="13499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088353" cy="134993"/>
                            </a:xfrm>
                            <a:prstGeom prst="rect">
                              <a:avLst/>
                            </a:prstGeom>
                            <a:ln/>
                          </pic:spPr>
                        </pic:pic>
                      </a:graphicData>
                    </a:graphic>
                  </wp:inline>
                </w:drawing>
              </w:r>
            </w:hyperlink>
          </w:p>
          <w:p w14:paraId="3E48FA96" w14:textId="77777777" w:rsidR="00111E04" w:rsidRPr="00C347E7" w:rsidRDefault="00111E04" w:rsidP="00A20931">
            <w:pPr>
              <w:rPr>
                <w:rFonts w:ascii="Book Antiqua" w:eastAsia="Book Antiqua" w:hAnsi="Book Antiqua" w:cs="Book Antiqua"/>
                <w:sz w:val="18"/>
                <w:szCs w:val="18"/>
              </w:rPr>
            </w:pPr>
            <w:r w:rsidRPr="00C347E7">
              <w:rPr>
                <w:rFonts w:ascii="Book Antiqua" w:eastAsia="Book Antiqua" w:hAnsi="Book Antiqua" w:cs="Book Antiqua"/>
                <w:sz w:val="18"/>
                <w:szCs w:val="18"/>
              </w:rPr>
              <w:t>Creative Commons Attribution-NonCommercial 4.0 International</w:t>
            </w:r>
          </w:p>
          <w:p w14:paraId="10C2267C" w14:textId="77777777" w:rsidR="00111E04" w:rsidRPr="00C347E7" w:rsidRDefault="00111E04" w:rsidP="00A20931">
            <w:pPr>
              <w:rPr>
                <w:rFonts w:ascii="Book Antiqua" w:eastAsia="Book Antiqua" w:hAnsi="Book Antiqua" w:cs="Book Antiqua"/>
                <w:sz w:val="18"/>
                <w:szCs w:val="18"/>
              </w:rPr>
            </w:pPr>
            <w:r w:rsidRPr="00C347E7">
              <w:rPr>
                <w:rFonts w:ascii="Book Antiqua" w:eastAsia="Book Antiqua" w:hAnsi="Book Antiqua" w:cs="Book Antiqua"/>
                <w:sz w:val="18"/>
                <w:szCs w:val="18"/>
              </w:rPr>
              <w:t>Copyright (c) by the author</w:t>
            </w:r>
          </w:p>
        </w:tc>
      </w:tr>
    </w:tbl>
    <w:p w14:paraId="1DE92B1A" w14:textId="77777777" w:rsidR="009667BA" w:rsidRDefault="009667BA" w:rsidP="004A7031">
      <w:pPr>
        <w:jc w:val="both"/>
        <w:rPr>
          <w:b/>
          <w:bCs/>
          <w:color w:val="000000"/>
          <w:sz w:val="20"/>
          <w:szCs w:val="20"/>
          <w:lang w:val="fi-FI"/>
        </w:rPr>
      </w:pPr>
    </w:p>
    <w:p w14:paraId="0D48236F" w14:textId="42890748" w:rsidR="004A7031" w:rsidRPr="009667BA" w:rsidRDefault="004A7031" w:rsidP="004A7031">
      <w:pPr>
        <w:jc w:val="both"/>
        <w:rPr>
          <w:color w:val="000000"/>
          <w:sz w:val="20"/>
          <w:szCs w:val="20"/>
          <w:lang w:val="fi-FI"/>
        </w:rPr>
      </w:pPr>
      <w:r w:rsidRPr="009667BA">
        <w:rPr>
          <w:b/>
          <w:bCs/>
          <w:color w:val="000000"/>
          <w:sz w:val="20"/>
          <w:szCs w:val="20"/>
          <w:lang w:val="fi-FI"/>
        </w:rPr>
        <w:t xml:space="preserve">Abstract </w:t>
      </w:r>
    </w:p>
    <w:p w14:paraId="285BC3DA" w14:textId="4AE527AC" w:rsidR="009667BA" w:rsidRPr="009667BA" w:rsidRDefault="009667BA" w:rsidP="009667BA">
      <w:pPr>
        <w:jc w:val="both"/>
        <w:rPr>
          <w:color w:val="000000"/>
          <w:sz w:val="20"/>
          <w:szCs w:val="20"/>
          <w:lang w:val="en-ID"/>
        </w:rPr>
      </w:pPr>
      <w:r w:rsidRPr="009667BA">
        <w:rPr>
          <w:color w:val="000000"/>
          <w:sz w:val="20"/>
          <w:szCs w:val="20"/>
          <w:lang w:val="en-ID"/>
        </w:rPr>
        <w:t>This study aims to comparatively examine the cyber adaptation strategies adopted by Urban Sufism and Salafi movements, and to analyze how the dynamics of digital religiosity from these two contrasting poles of thought implicate the shifting trends of halal lifestyle among urban societies.</w:t>
      </w:r>
      <w:r>
        <w:rPr>
          <w:color w:val="000000"/>
          <w:sz w:val="20"/>
          <w:szCs w:val="20"/>
          <w:lang w:val="en-ID"/>
        </w:rPr>
        <w:t xml:space="preserve"> </w:t>
      </w:r>
      <w:r w:rsidRPr="009667BA">
        <w:rPr>
          <w:color w:val="000000"/>
          <w:sz w:val="20"/>
          <w:szCs w:val="20"/>
          <w:lang w:val="en-ID"/>
        </w:rPr>
        <w:t>This study utilizes a qualitative approach with a descriptive-analytical library research method. The framework of digital sociology integrated with the perspective of Islamic economic sociology is employed as the formal framework. Primary and secondary data were gathered through digital text documentation techniques and rigorously analyzed using content analysis alongside hermeneutic-textual methods.</w:t>
      </w:r>
      <w:r>
        <w:rPr>
          <w:color w:val="000000"/>
          <w:sz w:val="20"/>
          <w:szCs w:val="20"/>
          <w:lang w:val="en-ID"/>
        </w:rPr>
        <w:t xml:space="preserve"> </w:t>
      </w:r>
      <w:r w:rsidRPr="009667BA">
        <w:rPr>
          <w:color w:val="000000"/>
          <w:sz w:val="20"/>
          <w:szCs w:val="20"/>
          <w:lang w:val="en-ID"/>
        </w:rPr>
        <w:t>The results demonstrate that digital Urban Sufism successfully promotes the visualization of inclusive piety based on spiritual aesthetics, triggering trends in the modest fashion industry (Sufi-Chic), paid spiritual literacy, and halal tourism. Conversely, the Salafi cyber movement acts as a strict gatekeeper of standardization through the hijrah narrative, driving an explosion in the collective syar'i clothing market, the acceleration of riba-free Islamic finance, and the rise of community-based herbal industries.</w:t>
      </w:r>
      <w:r>
        <w:rPr>
          <w:color w:val="000000"/>
          <w:sz w:val="20"/>
          <w:szCs w:val="20"/>
          <w:lang w:val="en-ID"/>
        </w:rPr>
        <w:t xml:space="preserve"> </w:t>
      </w:r>
      <w:r w:rsidRPr="009667BA">
        <w:rPr>
          <w:color w:val="000000"/>
          <w:sz w:val="20"/>
          <w:szCs w:val="20"/>
          <w:lang w:val="en-ID"/>
        </w:rPr>
        <w:t>This study offers a significant novelty by bridging contemporary cyber religiosity with market economic structures through the lens of religious commodification. It addresses a critical research gap by avoiding a fragmented analysis of Sufi and Salafi movements, instead comparing them in parallel to reveal how they influence the polarization of taste cultures among urban Muslim consumers.</w:t>
      </w:r>
    </w:p>
    <w:p w14:paraId="63755A16" w14:textId="7D5E182D" w:rsidR="009667BA" w:rsidRPr="009667BA" w:rsidRDefault="009667BA" w:rsidP="009667BA">
      <w:pPr>
        <w:jc w:val="both"/>
        <w:rPr>
          <w:i/>
          <w:iCs/>
          <w:color w:val="000000"/>
          <w:sz w:val="18"/>
          <w:szCs w:val="18"/>
          <w:lang w:val="en-ID"/>
        </w:rPr>
      </w:pPr>
      <w:r w:rsidRPr="009667BA">
        <w:rPr>
          <w:b/>
          <w:bCs/>
          <w:i/>
          <w:iCs/>
          <w:color w:val="000000"/>
          <w:sz w:val="18"/>
          <w:szCs w:val="18"/>
          <w:lang w:val="en-ID"/>
        </w:rPr>
        <w:t>Keywords</w:t>
      </w:r>
      <w:r w:rsidRPr="009667BA">
        <w:rPr>
          <w:i/>
          <w:iCs/>
          <w:color w:val="000000"/>
          <w:sz w:val="18"/>
          <w:szCs w:val="18"/>
          <w:lang w:val="en-ID"/>
        </w:rPr>
        <w:t>: Urban Sufism; Salafi; Cyber Adaptation; Religious Commodification; Halal Lifestyle; Consumer Behavior.</w:t>
      </w:r>
    </w:p>
    <w:p w14:paraId="550920CA" w14:textId="77777777" w:rsidR="009667BA" w:rsidRPr="009667BA" w:rsidRDefault="009667BA" w:rsidP="004A7031">
      <w:pPr>
        <w:jc w:val="both"/>
        <w:rPr>
          <w:rFonts w:ascii="Book Antiqua" w:hAnsi="Book Antiqua"/>
          <w:color w:val="000000"/>
          <w:sz w:val="20"/>
          <w:szCs w:val="20"/>
          <w:lang w:val="en-ID"/>
        </w:rPr>
      </w:pPr>
    </w:p>
    <w:p w14:paraId="23840E4D" w14:textId="757691AA" w:rsidR="00354E78" w:rsidRPr="009667BA" w:rsidRDefault="009667BA" w:rsidP="003F0AB8">
      <w:pPr>
        <w:jc w:val="both"/>
        <w:rPr>
          <w:b/>
          <w:bCs/>
          <w:color w:val="000000"/>
          <w:sz w:val="20"/>
          <w:szCs w:val="20"/>
          <w:lang w:val="fi-FI"/>
        </w:rPr>
      </w:pPr>
      <w:r w:rsidRPr="009667BA">
        <w:rPr>
          <w:b/>
          <w:bCs/>
          <w:color w:val="000000"/>
          <w:sz w:val="20"/>
          <w:szCs w:val="20"/>
          <w:lang w:val="fi-FI"/>
        </w:rPr>
        <w:t>Abastrak</w:t>
      </w:r>
    </w:p>
    <w:p w14:paraId="3844DA10" w14:textId="76C4D818" w:rsidR="009667BA" w:rsidRPr="009667BA" w:rsidRDefault="009667BA" w:rsidP="009667BA">
      <w:pPr>
        <w:widowControl w:val="0"/>
        <w:jc w:val="both"/>
        <w:rPr>
          <w:rFonts w:eastAsia="Book Antiqua"/>
          <w:sz w:val="20"/>
          <w:szCs w:val="20"/>
          <w:lang w:val="fi-FI"/>
        </w:rPr>
      </w:pPr>
      <w:r w:rsidRPr="009667BA">
        <w:rPr>
          <w:rFonts w:eastAsia="Book Antiqua"/>
          <w:sz w:val="20"/>
          <w:szCs w:val="20"/>
          <w:lang w:val="fi-FI"/>
        </w:rPr>
        <w:t xml:space="preserve">Penelitian ini bertujuan untuk mengkaji secara komparatif strategi adaptasi siber yang diadopsi oleh Urban Sufisme dan Salafi, serta menganalisis bagaimana dinamika keberagamaan digital dari kedua kutub pemikiran yang kontras tersebut berimplikasi terhadap pergeseran tren </w:t>
      </w:r>
      <w:r w:rsidRPr="009667BA">
        <w:rPr>
          <w:rFonts w:eastAsia="Book Antiqua"/>
          <w:i/>
          <w:iCs/>
          <w:sz w:val="20"/>
          <w:szCs w:val="20"/>
          <w:lang w:val="fi-FI"/>
        </w:rPr>
        <w:t>halal lifestyle</w:t>
      </w:r>
      <w:r w:rsidRPr="009667BA">
        <w:rPr>
          <w:rFonts w:eastAsia="Book Antiqua"/>
          <w:sz w:val="20"/>
          <w:szCs w:val="20"/>
          <w:lang w:val="fi-FI"/>
        </w:rPr>
        <w:t xml:space="preserve"> masyarakat perkotaan.</w:t>
      </w:r>
      <w:r w:rsidRPr="009667BA">
        <w:rPr>
          <w:rFonts w:eastAsia="Book Antiqua"/>
          <w:sz w:val="20"/>
          <w:szCs w:val="20"/>
          <w:lang w:val="fi-FI"/>
        </w:rPr>
        <w:t xml:space="preserve"> </w:t>
      </w:r>
      <w:r w:rsidRPr="009667BA">
        <w:rPr>
          <w:rFonts w:eastAsia="Book Antiqua"/>
          <w:sz w:val="20"/>
          <w:szCs w:val="20"/>
          <w:lang w:val="fi-FI"/>
        </w:rPr>
        <w:t>Riset ini menggunakan pendekatan kualitatif dengan jenis penelitian kepustakaan (</w:t>
      </w:r>
      <w:r w:rsidRPr="009667BA">
        <w:rPr>
          <w:rFonts w:eastAsia="Book Antiqua"/>
          <w:i/>
          <w:iCs/>
          <w:sz w:val="20"/>
          <w:szCs w:val="20"/>
          <w:lang w:val="fi-FI"/>
        </w:rPr>
        <w:t>library research</w:t>
      </w:r>
      <w:r w:rsidRPr="009667BA">
        <w:rPr>
          <w:rFonts w:eastAsia="Book Antiqua"/>
          <w:sz w:val="20"/>
          <w:szCs w:val="20"/>
          <w:lang w:val="fi-FI"/>
        </w:rPr>
        <w:t xml:space="preserve">) yang bersifat deskriptif analitis. </w:t>
      </w:r>
      <w:r w:rsidRPr="009667BA">
        <w:rPr>
          <w:rFonts w:eastAsia="Book Antiqua"/>
          <w:sz w:val="20"/>
          <w:szCs w:val="20"/>
          <w:lang w:val="en-ID"/>
        </w:rPr>
        <w:t>Kerangka kerja sosiologi digital (</w:t>
      </w:r>
      <w:r w:rsidRPr="009667BA">
        <w:rPr>
          <w:rFonts w:eastAsia="Book Antiqua"/>
          <w:i/>
          <w:iCs/>
          <w:sz w:val="20"/>
          <w:szCs w:val="20"/>
          <w:lang w:val="en-ID"/>
        </w:rPr>
        <w:t>digital sociology</w:t>
      </w:r>
      <w:r w:rsidRPr="009667BA">
        <w:rPr>
          <w:rFonts w:eastAsia="Book Antiqua"/>
          <w:sz w:val="20"/>
          <w:szCs w:val="20"/>
          <w:lang w:val="en-ID"/>
        </w:rPr>
        <w:t>) yang diintegrasikan dengan pendekatan sosiologi ekonomi Islam digunakan sebagai kerangka formal. Data primer dan sekunder dikumpulkan menggunakan teknik dokumentasi teks digital, lalu dianalisis secara mendalam melalui analisis isi (</w:t>
      </w:r>
      <w:r w:rsidRPr="009667BA">
        <w:rPr>
          <w:rFonts w:eastAsia="Book Antiqua"/>
          <w:i/>
          <w:iCs/>
          <w:sz w:val="20"/>
          <w:szCs w:val="20"/>
          <w:lang w:val="en-ID"/>
        </w:rPr>
        <w:t>content analysis</w:t>
      </w:r>
      <w:r w:rsidRPr="009667BA">
        <w:rPr>
          <w:rFonts w:eastAsia="Book Antiqua"/>
          <w:sz w:val="20"/>
          <w:szCs w:val="20"/>
          <w:lang w:val="en-ID"/>
        </w:rPr>
        <w:t>) serta metode hermeneutik-tekstual.</w:t>
      </w:r>
      <w:r w:rsidRPr="009667BA">
        <w:rPr>
          <w:rFonts w:eastAsia="Book Antiqua"/>
          <w:sz w:val="20"/>
          <w:szCs w:val="20"/>
          <w:lang w:val="en-ID"/>
        </w:rPr>
        <w:t xml:space="preserve"> </w:t>
      </w:r>
      <w:r w:rsidRPr="009667BA">
        <w:rPr>
          <w:rFonts w:eastAsia="Book Antiqua"/>
          <w:sz w:val="20"/>
          <w:szCs w:val="20"/>
          <w:lang w:val="en-ID"/>
        </w:rPr>
        <w:t xml:space="preserve">Hasil penelitian menunjukkan bahwa Urban Sufisme digital berhasil mempromosikan visualisasi kesalehan inklusif berbasis estetika spiritual yang memicu pertumbuhan tren industri </w:t>
      </w:r>
      <w:r w:rsidRPr="009667BA">
        <w:rPr>
          <w:rFonts w:eastAsia="Book Antiqua"/>
          <w:i/>
          <w:iCs/>
          <w:sz w:val="20"/>
          <w:szCs w:val="20"/>
          <w:lang w:val="en-ID"/>
        </w:rPr>
        <w:t>modest fashion</w:t>
      </w:r>
      <w:r w:rsidRPr="009667BA">
        <w:rPr>
          <w:rFonts w:eastAsia="Book Antiqua"/>
          <w:sz w:val="20"/>
          <w:szCs w:val="20"/>
          <w:lang w:val="en-ID"/>
        </w:rPr>
        <w:t xml:space="preserve"> (Sufi-Chic), literasi spiritual berbayar, dan </w:t>
      </w:r>
      <w:r w:rsidRPr="009667BA">
        <w:rPr>
          <w:rFonts w:eastAsia="Book Antiqua"/>
          <w:i/>
          <w:iCs/>
          <w:sz w:val="20"/>
          <w:szCs w:val="20"/>
          <w:lang w:val="en-ID"/>
        </w:rPr>
        <w:t>halal tourism</w:t>
      </w:r>
      <w:r w:rsidRPr="009667BA">
        <w:rPr>
          <w:rFonts w:eastAsia="Book Antiqua"/>
          <w:sz w:val="20"/>
          <w:szCs w:val="20"/>
          <w:lang w:val="en-ID"/>
        </w:rPr>
        <w:t>. Sebaliknya, gerakan siber Salafi bertindak sebagai agen penegak standarisasi (</w:t>
      </w:r>
      <w:r w:rsidRPr="009667BA">
        <w:rPr>
          <w:rFonts w:eastAsia="Book Antiqua"/>
          <w:i/>
          <w:iCs/>
          <w:sz w:val="20"/>
          <w:szCs w:val="20"/>
          <w:lang w:val="en-ID"/>
        </w:rPr>
        <w:t>gatekeeper</w:t>
      </w:r>
      <w:r w:rsidRPr="009667BA">
        <w:rPr>
          <w:rFonts w:eastAsia="Book Antiqua"/>
          <w:sz w:val="20"/>
          <w:szCs w:val="20"/>
          <w:lang w:val="en-ID"/>
        </w:rPr>
        <w:t>) yang ketat melalui narasi hijrah, yang mendorong ledakan pasar busana syar'i kolektif, akselerasi keuangan syariah bebas riba, serta kebangkitan industri herbal komunitas.</w:t>
      </w:r>
      <w:r w:rsidRPr="009667BA">
        <w:rPr>
          <w:rFonts w:eastAsia="Book Antiqua"/>
          <w:sz w:val="20"/>
          <w:szCs w:val="20"/>
          <w:lang w:val="en-ID"/>
        </w:rPr>
        <w:t xml:space="preserve"> </w:t>
      </w:r>
      <w:r w:rsidRPr="009667BA">
        <w:rPr>
          <w:rFonts w:eastAsia="Book Antiqua"/>
          <w:sz w:val="20"/>
          <w:szCs w:val="20"/>
          <w:lang w:val="en-ID"/>
        </w:rPr>
        <w:t>Penelitian ini memberikan kontribusi kebaruan (</w:t>
      </w:r>
      <w:r w:rsidRPr="009667BA">
        <w:rPr>
          <w:rFonts w:eastAsia="Book Antiqua"/>
          <w:i/>
          <w:iCs/>
          <w:sz w:val="20"/>
          <w:szCs w:val="20"/>
          <w:lang w:val="en-ID"/>
        </w:rPr>
        <w:t>novelty</w:t>
      </w:r>
      <w:r w:rsidRPr="009667BA">
        <w:rPr>
          <w:rFonts w:eastAsia="Book Antiqua"/>
          <w:sz w:val="20"/>
          <w:szCs w:val="20"/>
          <w:lang w:val="en-ID"/>
        </w:rPr>
        <w:t>) dengan menjembatani studi religiositas siber kontemporer dan struktur ekonomi pasar melalui kacamata komodifikasi agama. Riset ini berhasil mengisi kekosongan analisis (</w:t>
      </w:r>
      <w:r w:rsidRPr="009667BA">
        <w:rPr>
          <w:rFonts w:eastAsia="Book Antiqua"/>
          <w:i/>
          <w:iCs/>
          <w:sz w:val="20"/>
          <w:szCs w:val="20"/>
          <w:lang w:val="en-ID"/>
        </w:rPr>
        <w:t>research gap</w:t>
      </w:r>
      <w:r w:rsidRPr="009667BA">
        <w:rPr>
          <w:rFonts w:eastAsia="Book Antiqua"/>
          <w:sz w:val="20"/>
          <w:szCs w:val="20"/>
          <w:lang w:val="en-ID"/>
        </w:rPr>
        <w:t>) dengan tidak memisahkan analisis gerakan Sufi dan Salafi secara parsial, melainkan membandingkannya secara paralel dalam memengaruhi polarisasi budaya selera (</w:t>
      </w:r>
      <w:r w:rsidRPr="009667BA">
        <w:rPr>
          <w:rFonts w:eastAsia="Book Antiqua"/>
          <w:i/>
          <w:iCs/>
          <w:sz w:val="20"/>
          <w:szCs w:val="20"/>
          <w:lang w:val="en-ID"/>
        </w:rPr>
        <w:t>taste cultures</w:t>
      </w:r>
      <w:r w:rsidRPr="009667BA">
        <w:rPr>
          <w:rFonts w:eastAsia="Book Antiqua"/>
          <w:sz w:val="20"/>
          <w:szCs w:val="20"/>
          <w:lang w:val="en-ID"/>
        </w:rPr>
        <w:t>) konsumen muslim urban.</w:t>
      </w:r>
    </w:p>
    <w:p w14:paraId="59901C45" w14:textId="60BF0AEF" w:rsidR="00914CFC" w:rsidRDefault="009667BA" w:rsidP="009667BA">
      <w:pPr>
        <w:widowControl w:val="0"/>
        <w:jc w:val="both"/>
        <w:rPr>
          <w:rFonts w:eastAsia="Book Antiqua"/>
          <w:i/>
          <w:iCs/>
          <w:sz w:val="18"/>
          <w:szCs w:val="18"/>
          <w:lang w:val="it-IT"/>
        </w:rPr>
      </w:pPr>
      <w:r w:rsidRPr="009667BA">
        <w:rPr>
          <w:rFonts w:eastAsia="Book Antiqua"/>
          <w:b/>
          <w:bCs/>
          <w:sz w:val="20"/>
          <w:szCs w:val="20"/>
          <w:lang w:val="it-IT"/>
        </w:rPr>
        <w:t>Kata Kunci</w:t>
      </w:r>
      <w:r w:rsidRPr="009667BA">
        <w:rPr>
          <w:rFonts w:eastAsia="Book Antiqua"/>
          <w:sz w:val="20"/>
          <w:szCs w:val="20"/>
          <w:lang w:val="it-IT"/>
        </w:rPr>
        <w:t xml:space="preserve">: </w:t>
      </w:r>
      <w:r w:rsidRPr="009667BA">
        <w:rPr>
          <w:rFonts w:eastAsia="Book Antiqua"/>
          <w:i/>
          <w:iCs/>
          <w:sz w:val="18"/>
          <w:szCs w:val="18"/>
          <w:lang w:val="it-IT"/>
        </w:rPr>
        <w:t>Urban Sufisme; Salafi; Adaptasi Siber; Komodifikasi Agama; Halal Lifestyle; Perilaku Konsumen.</w:t>
      </w:r>
    </w:p>
    <w:p w14:paraId="2DF73993" w14:textId="77777777" w:rsidR="00C01063" w:rsidRPr="009667BA" w:rsidRDefault="00C01063" w:rsidP="009667BA">
      <w:pPr>
        <w:widowControl w:val="0"/>
        <w:jc w:val="both"/>
        <w:rPr>
          <w:rStyle w:val="Strong"/>
          <w:rFonts w:eastAsia="Book Antiqua"/>
          <w:b w:val="0"/>
          <w:bCs w:val="0"/>
          <w:sz w:val="20"/>
          <w:szCs w:val="20"/>
          <w:lang w:val="it-IT"/>
        </w:rPr>
      </w:pPr>
    </w:p>
    <w:p w14:paraId="453D1DB2" w14:textId="554E7021" w:rsidR="00FB6BE6" w:rsidRPr="000733C8" w:rsidRDefault="00397CE7" w:rsidP="00FB6BE6">
      <w:pPr>
        <w:pStyle w:val="ListParagraph"/>
        <w:numPr>
          <w:ilvl w:val="0"/>
          <w:numId w:val="8"/>
        </w:numPr>
        <w:autoSpaceDE w:val="0"/>
        <w:spacing w:after="120"/>
        <w:ind w:left="425" w:hanging="357"/>
        <w:rPr>
          <w:rFonts w:ascii="Times New Roman" w:hAnsi="Times New Roman"/>
          <w:b/>
          <w:color w:val="000000"/>
          <w:sz w:val="24"/>
          <w:szCs w:val="24"/>
          <w:lang w:val="fi-FI"/>
        </w:rPr>
      </w:pPr>
      <w:r w:rsidRPr="000733C8">
        <w:rPr>
          <w:rFonts w:ascii="Times New Roman" w:hAnsi="Times New Roman"/>
          <w:b/>
          <w:color w:val="000000"/>
          <w:sz w:val="24"/>
          <w:szCs w:val="24"/>
          <w:lang w:val="fi-FI"/>
        </w:rPr>
        <w:lastRenderedPageBreak/>
        <w:t>Pendahul</w:t>
      </w:r>
      <w:r w:rsidR="007B0FDC" w:rsidRPr="000733C8">
        <w:rPr>
          <w:rFonts w:ascii="Times New Roman" w:hAnsi="Times New Roman"/>
          <w:b/>
          <w:color w:val="000000"/>
          <w:sz w:val="24"/>
          <w:szCs w:val="24"/>
          <w:lang w:val="fi-FI"/>
        </w:rPr>
        <w:t>uan</w:t>
      </w:r>
    </w:p>
    <w:p w14:paraId="361B8653" w14:textId="57917074" w:rsidR="00FB6BE6" w:rsidRPr="000733C8" w:rsidRDefault="00FB6BE6" w:rsidP="00FB6BE6">
      <w:pPr>
        <w:ind w:firstLine="567"/>
        <w:jc w:val="both"/>
        <w:rPr>
          <w:lang w:val="id-ID"/>
        </w:rPr>
      </w:pPr>
      <w:r w:rsidRPr="000733C8">
        <w:rPr>
          <w:lang w:val="id-ID"/>
        </w:rPr>
        <w:t>Tasawuf, sebagai tradisi dalam Islam, merupakan pencarian yang mendalam dan intim akan pengalaman spiritual serta hubungan pribadi dengan Allah</w:t>
      </w:r>
      <w:r w:rsidR="005C727E" w:rsidRPr="000733C8">
        <w:rPr>
          <w:lang w:val="id-ID"/>
        </w:rPr>
        <w:fldChar w:fldCharType="begin" w:fldLock="1"/>
      </w:r>
      <w:r w:rsidR="005C727E" w:rsidRPr="000733C8">
        <w:rPr>
          <w:lang w:val="id-ID"/>
        </w:rPr>
        <w:instrText>ADDIN CSL_CITATION {"citationItems":[{"id":"ITEM-1","itemData":{"DOI":"10.22373/jpi.v3i1.16368","ISSN":"2798-9747","abstract":"Sufism is a concept within Islam that aims to lead individuals towards God. The practice of Sufism involves purifying the inner self through righteous deeds. In the journey of Sufism, there are three stages to be traversed: knowledge as the beginning, action as the middle, and God's grace as the culmination. By practicing Sufism, individuals can attain a deeper relationship with God and find inner peace. Through the process of purifying the inner self and engaging in righteous deeds, Sufism helps individuals enhance their spiritual quality and gain a profound understanding of their religion. In the contemporary era, Sufism has experienced development, marked by the emergence of new terms such as Urban Sufism and Perennial Sufism. Urban Sufism refers to the practice of Sufism in urban contexts, where individuals apply Sufi principles in their daily lives amidst the modern and complex urban environment. This demonstrates the adaptation of Sufism to the challenges and needs of the present time. On the other hand, Perennial Sufism refers to an approach that connects the essence of mystical and spiritual teachings from various religions. In Perennial Sufism, the common principles of spirituality and religious experiences are found across different religious traditions, serving as a bridge to understand and achieve unity with God.AbstrakTasawuf sebuah konsep dalam Islam yang memiliki tujuan untuk membawa manusia menuju Tuhan. Praktik tasawuf melibatkan pensucian batin dengan amal shaleh. Dalam perjalanan tasawuf, terdapat tiga tahapan yang harus dilalui, yaitu ilmu sebagai yang awal, amal sebagai yang tengah, dan karunia Allah sebagai yang akhir. Dengan mengamalkan tasawuf, individu dapat mencapai hubungan yang lebih mendalam dengan Tuhan dan memperoleh kedamaian dalam jiwa. Melalui proses pensucian batin dan pelaksanaan amal shaleh, tasawuf membantu manusia untuk meningkatkan kualitas spiritualitasnya dan memperoleh pemahaman yang lebih mendalam tentang agama. Perkembangan tasawuf di era kontemporer saat ini, yang ditandai dengan munculnya beberapa istilah baru seperti Tasawuf Urban atau Tasawuf Perkotaan dan Tasawuf Perenial. Tasawuf Urban mengacu pada praktik tasawuf yang dilakukan dalam konteks perkotaan, di mana individu mengaplikasikan prinsip-prinsip tasawuf dalam kehidupan sehari-hari di tengah kehidupan perkotaan yang modern dan kompleks. Hal ini menunjukkan adaptasi tasawuf dengan tantangan dan kebutuhan zaman. Sementara itu, Tasawuf Perenial meruju…","author":[{"dropping-particle":"","family":"Arvionita","given":"Diah","non-dropping-particle":"","parse-names":false,"suffix":""},{"dropping-particle":"","family":"Efendi","given":"Efendi","non-dropping-particle":"","parse-names":false,"suffix":""},{"dropping-particle":"","family":"Wirman","given":"Eka Putra","non-dropping-particle":"","parse-names":false,"suffix":""},{"dropping-particle":"","family":"Zainal","given":"Zainal","non-dropping-particle":"","parse-names":false,"suffix":""}],"container-title":"Jurnal Pemikiran Islam","id":"ITEM-1","issue":"1","issued":{"date-parts":[["2023"]]},"page":"1-13","publisher":"Indonesian Institute of Sciences","title":"Tasawuf Urban dan Tasawuf Perenial dalam Kehidupan Masyarakat Perkotaan","type":"article-journal","volume":"3"},"uris":["http://www.mendeley.com/documents/?uuid=26b8b831-bec0-4ec7-99fe-d3d6f6514190"]}],"mendeley":{"formattedCitation":"(Arvionita et al., 2023)","plainTextFormattedCitation":"(Arvionita et al., 2023)","previouslyFormattedCitation":"(Arvionita et al., 2023)"},"properties":{"noteIndex":0},"schema":"https://github.com/citation-style-language/schema/raw/master/csl-citation.json"}</w:instrText>
      </w:r>
      <w:r w:rsidR="005C727E" w:rsidRPr="000733C8">
        <w:rPr>
          <w:lang w:val="id-ID"/>
        </w:rPr>
        <w:fldChar w:fldCharType="separate"/>
      </w:r>
      <w:r w:rsidR="005C727E" w:rsidRPr="000733C8">
        <w:rPr>
          <w:noProof/>
          <w:lang w:val="id-ID"/>
        </w:rPr>
        <w:t>(Arvionita et al., 2023)</w:t>
      </w:r>
      <w:r w:rsidR="005C727E" w:rsidRPr="000733C8">
        <w:rPr>
          <w:lang w:val="id-ID"/>
        </w:rPr>
        <w:fldChar w:fldCharType="end"/>
      </w:r>
      <w:r w:rsidRPr="000733C8">
        <w:rPr>
          <w:lang w:val="id-ID"/>
        </w:rPr>
        <w:t>. Tasawuf bukanlah sekadar kumpulan doktrin atau aturan, melainkan sebuah perjalanan batin yang melibatkan pengalaman langsung dan pemahaman intuitif terhadap realitas keagamaan. Praktik-praktik tasawuf sering kali mencakup meditasi, zikir dan metode-metode kontemplatif lainnya untuk mencapai tingkat kesadaran spiritual yang lebih tinggi</w:t>
      </w:r>
      <w:r w:rsidR="005C727E" w:rsidRPr="000733C8">
        <w:rPr>
          <w:lang w:val="id-ID"/>
        </w:rPr>
        <w:fldChar w:fldCharType="begin" w:fldLock="1"/>
      </w:r>
      <w:r w:rsidR="005C727E" w:rsidRPr="000733C8">
        <w:rPr>
          <w:lang w:val="id-ID"/>
        </w:rPr>
        <w:instrText>ADDIN CSL_CITATION {"citationItems":[{"id":"ITEM-1","itemData":{"DOI":"10.15408/jii.v12i1.24693","ISSN":"2088-9445","abstract":"In the last two decades, the theme of intuition has increasingly attracted the attention of academics, including psychologists. The increasing interest of psychologists in intuition is because the process of judgment and decision-making within individuals often occurs outside of their conscious thinking. This happens when individuals face uncertain situations, time pressure, and complex, ambiguous, and even strange problems. Intuition is the capacity of the human soul to know or understand a matter automatically, effortless, and affectively without rational processes. Intuition in psychological studies is based on experiences and knowledge accumulated from the past and stored in memory. In contrast to the Islamic perspective, intuition (divine) is based on the experience of spiritual disclosure coming from divine gifts. This study uses a psychological approach with descriptive comparative analysis techniques to discuss intuition, its mechanisms and development, originating from two perspectives: Islam and contemporary psychology. This study constructs five types of intuition where spiritual intuition occupies the highest position, followed by moral, creative, expertise, and social intuition. ","author":[{"dropping-particle":"","family":"Aqil","given":"Rihab Said","non-dropping-particle":"","parse-names":false,"suffix":""},{"dropping-particle":"","family":"Mujib","given":"Abdul","non-dropping-particle":"","parse-names":false,"suffix":""}],"container-title":"Jurnal Indo-Islamika","id":"ITEM-1","issue":"1","issued":{"date-parts":[["2022"]]},"page":"12-34","publisher":"Universitas Islam Negeri (UIN)","title":"Intuition in Islamic and Contemporary Psychology","type":"article-journal","volume":"12"},"uris":["http://www.mendeley.com/documents/?uuid=f33fe71e-65f6-40a5-8dcb-986799c0d553"]}],"mendeley":{"formattedCitation":"(Aqil &amp; Mujib, 2022)","plainTextFormattedCitation":"(Aqil &amp; Mujib, 2022)","previouslyFormattedCitation":"(Aqil &amp; Mujib, 2022)"},"properties":{"noteIndex":0},"schema":"https://github.com/citation-style-language/schema/raw/master/csl-citation.json"}</w:instrText>
      </w:r>
      <w:r w:rsidR="005C727E" w:rsidRPr="000733C8">
        <w:rPr>
          <w:lang w:val="id-ID"/>
        </w:rPr>
        <w:fldChar w:fldCharType="separate"/>
      </w:r>
      <w:r w:rsidR="005C727E" w:rsidRPr="000733C8">
        <w:rPr>
          <w:noProof/>
          <w:lang w:val="id-ID"/>
        </w:rPr>
        <w:t>(Aqil &amp; Mujib, 2022)</w:t>
      </w:r>
      <w:r w:rsidR="005C727E" w:rsidRPr="000733C8">
        <w:rPr>
          <w:lang w:val="id-ID"/>
        </w:rPr>
        <w:fldChar w:fldCharType="end"/>
      </w:r>
      <w:r w:rsidRPr="000733C8">
        <w:rPr>
          <w:lang w:val="id-ID"/>
        </w:rPr>
        <w:t>. Selain itu, tasawuf dikenal karena toleransinya terhadap beragam tafsir dan praktik keagamaan, yang telah melahirkan berbagai tradisi dan mazhab di seluruh dunia Islam.</w:t>
      </w:r>
    </w:p>
    <w:p w14:paraId="58FCEF26" w14:textId="01C8A366" w:rsidR="00FB6BE6" w:rsidRPr="000733C8" w:rsidRDefault="00FB6BE6" w:rsidP="00FB6BE6">
      <w:pPr>
        <w:ind w:firstLine="567"/>
        <w:jc w:val="both"/>
        <w:rPr>
          <w:lang w:val="id-ID"/>
        </w:rPr>
      </w:pPr>
      <w:r w:rsidRPr="000733C8">
        <w:rPr>
          <w:lang w:val="id-ID"/>
        </w:rPr>
        <w:t xml:space="preserve">Sisi lain, salafisme mengambil pendekatan yang lebih harfiah dan puritan terhadap Islam. Gerakan ini berakar pada upaya untuk </w:t>
      </w:r>
      <w:r w:rsidR="0079362F" w:rsidRPr="000733C8">
        <w:rPr>
          <w:lang w:val="id-ID"/>
        </w:rPr>
        <w:t>“</w:t>
      </w:r>
      <w:r w:rsidRPr="000733C8">
        <w:rPr>
          <w:lang w:val="id-ID"/>
        </w:rPr>
        <w:t>kembali” kepada praktik dan ajaran Islam sebagaimana dipraktikkan oleh Salafussholeh generasi awal umat Islam pada masa keemasan Islam</w:t>
      </w:r>
      <w:r w:rsidR="005C727E" w:rsidRPr="000733C8">
        <w:rPr>
          <w:lang w:val="id-ID"/>
        </w:rPr>
        <w:fldChar w:fldCharType="begin" w:fldLock="1"/>
      </w:r>
      <w:r w:rsidR="0079362F" w:rsidRPr="000733C8">
        <w:rPr>
          <w:lang w:val="id-ID"/>
        </w:rPr>
        <w:instrText>ADDIN CSL_CITATION {"citationItems":[{"id":"ITEM-1","itemData":{"DOI":"10.18502/kss.v8i18.14247","ISSN":"2518-668X","abstract":"Salafism is a transnational Islamic movement that has spread worldwide, including in Indonesia. Etymologically, the term ”salaf” refers to the past or what occurred in previous times (Ma’luf 1986: 346). In addition to ”salaf,” the words ”salafiah” and ”salafi” (plural: ”salafiyun”) are widely used by scholars. ”Salafiah” refers to the teachings of the pious ancestors (”salaf al saleh”), while ”salafi” refers to the followers of these teachings (al-Thalibi 2006: 8). Currently, Salafism has evolved into an Islamic school of thought that regards true Islam as being attained only through imitating the interpretations and practices of the pious predecessors (salaf al salih) (al Bouty 1998: 9). The salaf al salih is considered an exemplary model of Islam. The spread of Salafism with the aim of purifying Islamic teachings and practices is referred to as the Salafi movement. Some scholars argue that Wahhabism in Saudi Arabia is another name for Salafism, as it can be traced genealogically from the salaf al salih—Ibn Taymiyya—Muhammad ibn Abd al Wahhab—and some prominent scholars from Saudi Arabia and Yemen. This research will focus on various aspects of Salafism, including its spread, da’wah strategies, and how its beliefs are presented in a manner that is appealing and accepted by people. The study follows an interpretive paradigm and utilizes the phenomenological approach to address the research problem. The data for this study will be collected from key figures and members of the Salafi movement in Wakatobi, as well as from local clerics, government officials, and relevant documents related to the research problem. There are at least three methods for collecting the data that we use in this study.\r Keywords: Puritanism, Islam, spread, movement, Salafiyah","author":[{"dropping-particle":"","family":".","given":"Alhamuddin","non-dropping-particle":"","parse-names":false,"suffix":""},{"dropping-particle":"","family":"Satria Hamdani","given":"Fahmi Fatwa Rosyadi","non-dropping-particle":"","parse-names":false,"suffix":""},{"dropping-particle":"","family":"Irwansyah","given":"Shindu","non-dropping-particle":"","parse-names":false,"suffix":""},{"dropping-particle":"","family":"Alifudin","given":"Muhammad","non-dropping-particle":"","parse-names":false,"suffix":""},{"dropping-particle":"","family":"Murniati","given":"Andi","non-dropping-particle":"","parse-names":false,"suffix":""},{"dropping-particle":"","family":"Murniati","given":"Andi","non-dropping-particle":"","parse-names":false,"suffix":""},{"dropping-particle":"","family":"In'ami","given":"Moh","non-dropping-particle":"","parse-names":false,"suffix":""}],"container-title":"KnE Social Sciences","id":"ITEM-1","issued":{"date-parts":[["2023"]]},"publisher":"Knowledge E","title":"Puritanism Islam in Indonesia","type":"article-journal"},"uris":["http://www.mendeley.com/documents/?uuid=41dbd756-bae6-4225-8204-db300dc0012d"]}],"mendeley":{"formattedCitation":"(. et al., 2023)","manualFormatting":"(Alimuddin. et al., 2023)","plainTextFormattedCitation":"(. et al., 2023)","previouslyFormattedCitation":"(. et al., 2023)"},"properties":{"noteIndex":0},"schema":"https://github.com/citation-style-language/schema/raw/master/csl-citation.json"}</w:instrText>
      </w:r>
      <w:r w:rsidR="005C727E" w:rsidRPr="000733C8">
        <w:rPr>
          <w:lang w:val="id-ID"/>
        </w:rPr>
        <w:fldChar w:fldCharType="separate"/>
      </w:r>
      <w:r w:rsidR="005C727E" w:rsidRPr="000733C8">
        <w:rPr>
          <w:noProof/>
          <w:lang w:val="id-ID"/>
        </w:rPr>
        <w:t>(Alimuddin. et al., 2023)</w:t>
      </w:r>
      <w:r w:rsidR="005C727E" w:rsidRPr="000733C8">
        <w:rPr>
          <w:lang w:val="id-ID"/>
        </w:rPr>
        <w:fldChar w:fldCharType="end"/>
      </w:r>
      <w:r w:rsidRPr="000733C8">
        <w:rPr>
          <w:lang w:val="id-ID"/>
        </w:rPr>
        <w:t>. Para penganut Salafisme cenderung menekankan pentingnya memahami dan menerapkan ajaran Islam sesuai dengan penafsiran harfiah Al-Qur’an dan Hadis, sekaligus menolak bid’ah, atau inovasi, dalam praktik keagamaan. Mereka memandang ketaatan pada ajaran murni sebagai kunci untuk mereformasi masyarakat dan memperkuat identitas Muslim</w:t>
      </w:r>
      <w:r w:rsidR="0079362F" w:rsidRPr="000733C8">
        <w:rPr>
          <w:lang w:val="id-ID"/>
        </w:rPr>
        <w:fldChar w:fldCharType="begin" w:fldLock="1"/>
      </w:r>
      <w:r w:rsidR="0079362F" w:rsidRPr="000733C8">
        <w:rPr>
          <w:lang w:val="id-ID"/>
        </w:rPr>
        <w:instrText>ADDIN CSL_CITATION {"citationItems":[{"id":"ITEM-1","itemData":{"DOI":"10.46799/jst.v5i7.980","ISSN":"2721-3854","abstract":"The goal of this study is to investigate if a well-functioning business requires leaders who can effectively motivate and influence those around them. Many leadership models form the foundation for appointing leaders in many organizational domains. For a devoted Muslim, the Prophet Muhammad SAW serves as an ideal leader. The purpose of this qualitative research, conducted using qualitative methods, is to uncover the Prophet Muhammad SAW's leadership attributes in three leadership models: charismatic leadership, transformational leadership, and servant leadership. The results demonstrate how the Prophet Muhammad (PBUH) personified transformational leadership by presenting a visionary view of the future and encouraging his people to attain greatness. It also emphasizes his duty as a servant leader, emphasizing the needs of others, cultivating meaningful relationships, and instilling a sense of community inside the organization. By analyzing the principles implemented by the Prophet Muhammad (PBUH), this research provides valuable insight into the application of his leadership traits in contemporary leadership models, encouraging leaders to emulate the characteristics of his example for the betterment of their organizations and communities.","author":[{"dropping-particle":"","family":"Santoso","given":"Seno","non-dropping-particle":"","parse-names":false,"suffix":""}],"container-title":"Jurnal Syntax Transformation","id":"ITEM-1","issue":"7","issued":{"date-parts":[["2024"]]},"page":"970-977","title":"Islamic Leadership: Prophet Muhammad as a Role Model of Charismatic, Transformational and Servant Leader","type":"article-journal","volume":"5"},"uris":["http://www.mendeley.com/documents/?uuid=a8156798-b5d1-4048-bd5f-b8b7671802bf"]}],"mendeley":{"formattedCitation":"(Santoso, 2024)","plainTextFormattedCitation":"(Santoso, 2024)","previouslyFormattedCitation":"(Santoso, 2024)"},"properties":{"noteIndex":0},"schema":"https://github.com/citation-style-language/schema/raw/master/csl-citation.json"}</w:instrText>
      </w:r>
      <w:r w:rsidR="0079362F" w:rsidRPr="000733C8">
        <w:rPr>
          <w:lang w:val="id-ID"/>
        </w:rPr>
        <w:fldChar w:fldCharType="separate"/>
      </w:r>
      <w:r w:rsidR="0079362F" w:rsidRPr="000733C8">
        <w:rPr>
          <w:noProof/>
          <w:lang w:val="id-ID"/>
        </w:rPr>
        <w:t>(Santoso, 2024)</w:t>
      </w:r>
      <w:r w:rsidR="0079362F" w:rsidRPr="000733C8">
        <w:rPr>
          <w:lang w:val="id-ID"/>
        </w:rPr>
        <w:fldChar w:fldCharType="end"/>
      </w:r>
      <w:r w:rsidRPr="000733C8">
        <w:rPr>
          <w:lang w:val="id-ID"/>
        </w:rPr>
        <w:t>. Dengan demikian, Tasawuf dan Salafisme mewakili dua pendekatan yang berbeda dalam memahami dan mempraktikkan Islam; meskipun keduanya berasal dari tradisi Islam yang sama, pendekatan mereka terhadap spiritualitas, penafsiran teks suci, dan praktik keagamaan sangat kontras. Hal ini mencerminkan keragaman pemikiran dan praktik keagamaan dalam Islam, serta kompleksitas dinamika antara dimensi spiritual dan hukum dalam tradisi keagamaan ini.</w:t>
      </w:r>
    </w:p>
    <w:p w14:paraId="7A6F6C34" w14:textId="4D68A2B9" w:rsidR="00FB6BE6" w:rsidRPr="000733C8" w:rsidRDefault="00FB6BE6" w:rsidP="00FB6BE6">
      <w:pPr>
        <w:ind w:firstLine="567"/>
        <w:jc w:val="both"/>
        <w:rPr>
          <w:lang w:val="id-ID"/>
        </w:rPr>
      </w:pPr>
      <w:r w:rsidRPr="000733C8">
        <w:rPr>
          <w:lang w:val="id-ID"/>
        </w:rPr>
        <w:t>Era kontemporer ini, yang ditandai oleh urbanisasi pesat di berbagai belahan dunia, kita menyaksikan transformasi dramatis dalam lanskap sosial, budaya, dan keagamaan. Proses urbanisasi ini tidak hanya mengubah wajah fisik kota-kota besar, tetapi juga memengaruhi struktur sosial dan dinamika budaya, sehingga menciptakan keragaman yang lebih besar di kalangan penduduk dan mengarah pada konvergensi berbagai kelompok etnis, budaya, dan keagamaan di ruang-ruang perkotaan</w:t>
      </w:r>
      <w:r w:rsidR="0079362F" w:rsidRPr="000733C8">
        <w:rPr>
          <w:lang w:val="id-ID"/>
        </w:rPr>
        <w:fldChar w:fldCharType="begin" w:fldLock="1"/>
      </w:r>
      <w:r w:rsidR="0079362F" w:rsidRPr="000733C8">
        <w:rPr>
          <w:lang w:val="id-ID"/>
        </w:rPr>
        <w:instrText>ADDIN CSL_CITATION {"citationItems":[{"id":"ITEM-1","itemData":{"DOI":"10.55681/seikat.v3i5.1581","ISSN":"2964-0962","abstract":"Kota-kota metropolitan di Indonesia menghadirkan lanskap sosial yang kompleks, di mana berbagai kelompok etnis, budaya, dan agama hidup berdampingan dalam ruang publik yang sama. Fenomena ini menimbulkan dinamika sosial yang unik, di mana interaksi antarbudaya menjadi salah satu faktor utama dalam membentuk kohesi sosial sekaligus potensi konflik. Penelitian ini bertujuan untuk menganalisis pola dialog antarbudaya dan implikasinya terhadap dinamika sosial di kota-kota multikultural di Indonesia. Dengan menggunakan pendekatan kualitatif, data dikumpulkan melalui observasi partisipatif, wawancara mendalam dengan warga dan pemangku kebijakan, serta analisis dokumen terkait. Hasil penelitian menunjukkan bahwa dialog antarbudaya tidak hanya berperan dalam membangun toleransi dan pengakuan terhadap perbedaan, tetapi juga memengaruhi praktik sosial, mobilitas budaya, dan strategi adaptasi masyarakat dalam menghadapi perubahan sosial. Namun, tantangan seperti segregasi sosial, stereotip budaya, dan ketimpangan ekonomi tetap menjadi faktor yang mempengaruhi efektivitas interaksi antarbudaya. Penelitian ini menyimpulkan bahwa dialog antarbudaya merupakan mekanisme penting dalam menjaga harmoni sosial, memperkuat identitas kota multikultural, serta mendorong pembangunan sosial yang inklusif. Temuan ini memiliki implikasi strategis bagi perumusan kebijakan publik yang berorientasi pada penguatan integrasi sosial dan pengelolaan keberagaman budaya di kota-kota metropolitan.","author":[{"dropping-particle":"","family":"Maulana","given":"","non-dropping-particle":"","parse-names":false,"suffix":""},{"dropping-particle":"","family":"Ferdian","given":"","non-dropping-particle":"","parse-names":false,"suffix":""}],"container-title":"SEIKAT: Jurnal Ilmu Sosial, Politik dan Hukum","id":"ITEM-1","issue":"5","issued":{"date-parts":[["2024"]]},"page":"261-267","title":"Dialog Antarbudaya dan Dinamika Sosial Kota Multikultural: Studi Kasus Kota Metropolitan di Indonesia","type":"article-journal","volume":"3"},"uris":["http://www.mendeley.com/documents/?uuid=9ac7c550-5a8c-4612-b4c1-e79f8b373b5d"]}],"mendeley":{"formattedCitation":"(Maulana &amp; Ferdian, 2024)","plainTextFormattedCitation":"(Maulana &amp; Ferdian, 2024)","previouslyFormattedCitation":"(Maulana &amp; Ferdian, 2024)"},"properties":{"noteIndex":0},"schema":"https://github.com/citation-style-language/schema/raw/master/csl-citation.json"}</w:instrText>
      </w:r>
      <w:r w:rsidR="0079362F" w:rsidRPr="000733C8">
        <w:rPr>
          <w:lang w:val="id-ID"/>
        </w:rPr>
        <w:fldChar w:fldCharType="separate"/>
      </w:r>
      <w:r w:rsidR="0079362F" w:rsidRPr="000733C8">
        <w:rPr>
          <w:noProof/>
          <w:lang w:val="id-ID"/>
        </w:rPr>
        <w:t>(Maulana &amp; Ferdian, 2024)</w:t>
      </w:r>
      <w:r w:rsidR="0079362F" w:rsidRPr="000733C8">
        <w:rPr>
          <w:lang w:val="id-ID"/>
        </w:rPr>
        <w:fldChar w:fldCharType="end"/>
      </w:r>
      <w:r w:rsidRPr="000733C8">
        <w:rPr>
          <w:lang w:val="id-ID"/>
        </w:rPr>
        <w:t>. Di kota-kota besar, kita dapat mengamati berbagai gerakan keagamaan dan praktik spiritual yang saling bersaing untuk mendapatkan perhatian dan pengikut.</w:t>
      </w:r>
    </w:p>
    <w:p w14:paraId="603D34BF" w14:textId="77BF1D73" w:rsidR="00FB6BE6" w:rsidRDefault="00FB6BE6" w:rsidP="00FB6BE6">
      <w:pPr>
        <w:ind w:firstLine="567"/>
        <w:jc w:val="both"/>
        <w:rPr>
          <w:lang w:val="id-ID"/>
        </w:rPr>
      </w:pPr>
      <w:r w:rsidRPr="000733C8">
        <w:rPr>
          <w:lang w:val="id-ID"/>
        </w:rPr>
        <w:t>Lingkungan perkotaan yang padat dan serba cepat, individu cenderung mencari bentuk-bentuk pemenuhan spiritual yang selaras dengan gaya hidup modern mereka, yang pada gilirannya menciptakan permintaan akan alternatif spiritual dan keagamaan yang beragam dan relevan dengan kehidupan perkotaan yang sibuk dan kompleks</w:t>
      </w:r>
      <w:r w:rsidR="0079362F" w:rsidRPr="000733C8">
        <w:rPr>
          <w:lang w:val="id-ID"/>
        </w:rPr>
        <w:fldChar w:fldCharType="begin" w:fldLock="1"/>
      </w:r>
      <w:r w:rsidR="0079362F" w:rsidRPr="000733C8">
        <w:rPr>
          <w:lang w:val="id-ID"/>
        </w:rPr>
        <w:instrText>ADDIN CSL_CITATION {"citationItems":[{"id":"ITEM-1","itemData":{"DOI":"10.26811/peuradeun.v10i3.711","ISSN":"24432067","abstract":"Recently, an intense discussion has developed among religion and social issues researchers on the discourse of spiritualism. The existence of spiritualism has changed parts of human civilization, including religious attitudes and expressions that exist in the public sphere. Therefore, in this study, the authors examined the discourse of spiritualism exemplified by Jamaah Maiyah Cak Nun. The model of spiritualism that the authors adopted was different in context from the cultural spiritualism studied by many scientists. This study sought to elaborate and explore the surge of religious spiritualism promoted by Jamaah Maiyah Cak Nun using a qualitative research framework. In addition, this research leads to a social and religious anthropological research model that combines virtual ethnography and fieldwork. The results of this study revealed the existence of spiritualism promoted by Jamaah Maiyah Cak Nun. Meanwhile, the development of various models of different aspects of spiritualism could not be separated from the support of the community itself. The Jamaah Maiyah's interaction also deserved attention; universal religious expressions and egalitarianism were the domains of the community. This research should be a reference for developing religious and social discourse in the future.","author":[{"dropping-particle":"","family":"Alam","given":"Lukis","non-dropping-particle":"","parse-names":false,"suffix":""},{"dropping-particle":"","family":"Lahmi","given":"Ahmad","non-dropping-particle":"","parse-names":false,"suffix":""},{"dropping-particle":"","family":"Alam","given":"Meredian","non-dropping-particle":"","parse-names":false,"suffix":""},{"dropping-particle":"","family":"Aminah","given":"","non-dropping-particle":"","parse-names":false,"suffix":""},{"dropping-particle":"","family":"Ritonga","given":"Mahyudin","non-dropping-particle":"","parse-names":false,"suffix":""}],"container-title":"Jurnal Ilmiah Peuradeun","id":"ITEM-1","issue":"3","issued":{"date-parts":[["2022"]]},"page":"747-764","title":"the Rise of the Urban Piety Movement: Jamaah Maiyah As an Urban Spiritualism and Emerging Religiosity in the Public Sphere","type":"article-journal","volume":"10"},"uris":["http://www.mendeley.com/documents/?uuid=37892d8a-0c9a-487d-aa14-5fa2bc04529a"]}],"mendeley":{"formattedCitation":"(Alam et al., 2022)","plainTextFormattedCitation":"(Alam et al., 2022)","previouslyFormattedCitation":"(Alam et al., 2022)"},"properties":{"noteIndex":0},"schema":"https://github.com/citation-style-language/schema/raw/master/csl-citation.json"}</w:instrText>
      </w:r>
      <w:r w:rsidR="0079362F" w:rsidRPr="000733C8">
        <w:rPr>
          <w:lang w:val="id-ID"/>
        </w:rPr>
        <w:fldChar w:fldCharType="separate"/>
      </w:r>
      <w:r w:rsidR="0079362F" w:rsidRPr="000733C8">
        <w:rPr>
          <w:noProof/>
          <w:lang w:val="id-ID"/>
        </w:rPr>
        <w:t>(Alam et al., 2022)</w:t>
      </w:r>
      <w:r w:rsidR="0079362F" w:rsidRPr="000733C8">
        <w:rPr>
          <w:lang w:val="id-ID"/>
        </w:rPr>
        <w:fldChar w:fldCharType="end"/>
      </w:r>
      <w:r w:rsidRPr="000733C8">
        <w:rPr>
          <w:lang w:val="id-ID"/>
        </w:rPr>
        <w:t>. Selain itu, urbanisasi telah membawa pengaruh signifikan dari teknologi dan media sosial, di mana kemajuan teknologi digital termasuk internet, media sosial, dan perangkat seluler telah mengubah cara orang berkomunikasi, berinteraksi, dan mengakses informasi. Dalam konteks keagamaan, teknologi-teknologi ini memainkan peran penting dalam menyebarkan ajaran dan memfasilitasi interaksi antara pengikut dan pemimpin agama, sehingga memungkinkan orang untuk dengan mudah mengakses ajaran agama, mengikuti diskusi dan khotbah, bahkan berpartisipasi dalam praktik keagamaan secara virtual melalui platform daring</w:t>
      </w:r>
      <w:r w:rsidR="001C78AA" w:rsidRPr="000733C8">
        <w:rPr>
          <w:rStyle w:val="FootnoteReference"/>
          <w:lang w:val="en-ID"/>
        </w:rPr>
        <w:fldChar w:fldCharType="begin" w:fldLock="1"/>
      </w:r>
      <w:r w:rsidR="005C727E" w:rsidRPr="000733C8">
        <w:rPr>
          <w:lang w:val="id-ID"/>
        </w:rPr>
        <w:instrText>ADDIN CSL_CITATION {"citationItems":[{"id":"ITEM-1","itemData":{"DOI":"10.37329/jpah.v10i1.4942","ISSN":"2579-9843","abstract":"The transformation of religious authority has become a central issue in the era of digital communication, as religious discourse increasingly shifts from institutional spaces to virtual platforms. This study examines how digital media reshapes religious authority through virtual communication practices on YouTube, Instagram, and TikTok. Employing a qualitative descriptive-analytical approach, the research utilizes digital ethnographic observation, in-depth interviews, and documentation of online preaching content and community interactions. The findings reveal that digital media produces new configurations of religious authority that are no longer grounded solely in institutional legitimacy, but also in communicative competence, audience intimacy, and strategic engagement with social media algorithms. While digital platforms expand access to religious knowledge and encourage participatory engagement among believers, they simultaneously generate challenges related to authority fragmentation, authenticity, and the circulation of unverified religious narratives. The study theoretically implies a shift from a hierarchical model of religious authority toward a networked and relational form, in which legitimacy is continuously negotiated within digital spaces rather than formally ascribed.","author":[{"dropping-particle":"","family":"Yuliani","given":"Ni Made","non-dropping-particle":"","parse-names":false,"suffix":""}],"container-title":"Jurnal Penelitian Agama Hindu","id":"ITEM-1","issue":"1","issued":{"date-parts":[["2026"]]},"page":"104-116","publisher":"Institut Hindu Dharma Negeri Denpasar","title":"Relasi Agama dan Media Digital Transformasi Otoritas Keagamaan di Era Komunikasi Virtual","type":"article-journal","volume":"10"},"uris":["http://www.mendeley.com/documents/?uuid=1be35882-76c0-4327-86dd-32cca330e1d7"]}],"mendeley":{"formattedCitation":"(Yuliani, 2026)","plainTextFormattedCitation":"(Yuliani, 2026)","previouslyFormattedCitation":"(Yuliani, 2026)"},"properties":{"noteIndex":0},"schema":"https://github.com/citation-style-language/schema/raw/master/csl-citation.json"}</w:instrText>
      </w:r>
      <w:r w:rsidR="001C78AA" w:rsidRPr="000733C8">
        <w:rPr>
          <w:rStyle w:val="FootnoteReference"/>
          <w:lang w:val="en-ID"/>
        </w:rPr>
        <w:fldChar w:fldCharType="separate"/>
      </w:r>
      <w:r w:rsidR="005C727E" w:rsidRPr="000733C8">
        <w:rPr>
          <w:bCs/>
          <w:noProof/>
        </w:rPr>
        <w:t>(Yuliani, 2026)</w:t>
      </w:r>
      <w:r w:rsidR="001C78AA" w:rsidRPr="000733C8">
        <w:rPr>
          <w:rStyle w:val="FootnoteReference"/>
          <w:lang w:val="en-ID"/>
        </w:rPr>
        <w:fldChar w:fldCharType="end"/>
      </w:r>
      <w:r w:rsidRPr="000733C8">
        <w:rPr>
          <w:lang w:val="id-ID"/>
        </w:rPr>
        <w:t>. Namun, meskipun teknologi dan urbanisasi menawarkan kemudahan akses dan konektivitas yang belum pernah terjadi sebelumnya, keduanya juga menghadirkan tantangan baru dalam memahami dan mempraktikkan agama. Perubahan dalam lingkungan perkotaan dan pengaruh teknologi dapat mengubah cara orang memandang dan menafsirkan ajaran agama, sekaligus memicu perdebatan mengenai relevansi dan otoritas tradisi agama dalam konteks modern.</w:t>
      </w:r>
    </w:p>
    <w:p w14:paraId="395FA7F4" w14:textId="77777777" w:rsidR="008F1AF7" w:rsidRDefault="008F1AF7" w:rsidP="00FB6BE6">
      <w:pPr>
        <w:ind w:firstLine="567"/>
        <w:jc w:val="both"/>
        <w:rPr>
          <w:lang w:val="id-ID"/>
        </w:rPr>
      </w:pPr>
    </w:p>
    <w:p w14:paraId="123A23A1" w14:textId="77777777" w:rsidR="008F1AF7" w:rsidRDefault="008F1AF7" w:rsidP="00FB6BE6">
      <w:pPr>
        <w:ind w:firstLine="567"/>
        <w:jc w:val="both"/>
        <w:rPr>
          <w:lang w:val="id-ID"/>
        </w:rPr>
      </w:pPr>
    </w:p>
    <w:p w14:paraId="49FEB945" w14:textId="77777777" w:rsidR="008F1AF7" w:rsidRPr="000733C8" w:rsidRDefault="008F1AF7" w:rsidP="00FB6BE6">
      <w:pPr>
        <w:ind w:firstLine="567"/>
        <w:jc w:val="both"/>
        <w:rPr>
          <w:lang w:val="id-ID"/>
        </w:rPr>
      </w:pPr>
    </w:p>
    <w:p w14:paraId="68B301C5" w14:textId="7988E82C" w:rsidR="0026385F" w:rsidRPr="000733C8" w:rsidRDefault="0026385F" w:rsidP="0026385F">
      <w:pPr>
        <w:pStyle w:val="ListParagraph"/>
        <w:numPr>
          <w:ilvl w:val="0"/>
          <w:numId w:val="8"/>
        </w:numPr>
        <w:spacing w:after="120"/>
        <w:ind w:left="425" w:hanging="357"/>
        <w:contextualSpacing w:val="0"/>
        <w:jc w:val="both"/>
        <w:rPr>
          <w:rFonts w:ascii="Times New Roman" w:hAnsi="Times New Roman"/>
          <w:b/>
          <w:color w:val="000000"/>
          <w:sz w:val="24"/>
          <w:szCs w:val="24"/>
          <w:lang w:val="id-ID"/>
        </w:rPr>
      </w:pPr>
      <w:r w:rsidRPr="000733C8">
        <w:rPr>
          <w:rFonts w:ascii="Times New Roman" w:hAnsi="Times New Roman"/>
          <w:b/>
          <w:color w:val="000000"/>
          <w:sz w:val="24"/>
          <w:szCs w:val="24"/>
          <w:lang w:val="id-ID"/>
        </w:rPr>
        <w:lastRenderedPageBreak/>
        <w:t>Kerangka Teori</w:t>
      </w:r>
    </w:p>
    <w:p w14:paraId="04525793" w14:textId="7262E1F2" w:rsidR="00FB6BE6" w:rsidRPr="000733C8" w:rsidRDefault="00FB6BE6" w:rsidP="00FB6BE6">
      <w:pPr>
        <w:ind w:firstLine="567"/>
        <w:jc w:val="both"/>
        <w:rPr>
          <w:lang w:val="id-ID"/>
        </w:rPr>
      </w:pPr>
      <w:r w:rsidRPr="000733C8">
        <w:rPr>
          <w:lang w:val="id-ID"/>
        </w:rPr>
        <w:t>Pencarian makna spiritualitas di tengah dinamika masyarakat urban yang serba cepat ini tidak lagi sekadar memengaruhi cara individu beribadah, melainkan telah menggeser orientasi mereka sebagai aktor ekonomi dalam ekosistem pasar kontemporer. Dalam perspektif sosiologi ekonomi Islam, fenomena ini dapat dijelaskan melalui teori komodifikasi agama (</w:t>
      </w:r>
      <w:r w:rsidRPr="000733C8">
        <w:rPr>
          <w:i/>
          <w:iCs/>
          <w:lang w:val="id-ID"/>
        </w:rPr>
        <w:t>religious commodification</w:t>
      </w:r>
      <w:r w:rsidRPr="000733C8">
        <w:rPr>
          <w:lang w:val="id-ID"/>
        </w:rPr>
        <w:t>)</w:t>
      </w:r>
      <w:r w:rsidR="000733C8">
        <w:rPr>
          <w:lang w:val="id-ID"/>
        </w:rPr>
        <w:fldChar w:fldCharType="begin" w:fldLock="1"/>
      </w:r>
      <w:r w:rsidR="000733C8">
        <w:rPr>
          <w:lang w:val="id-ID"/>
        </w:rPr>
        <w:instrText>ADDIN CSL_CITATION {"citationItems":[{"id":"ITEM-1","itemData":{"ISSN":"2721-2246","author":[{"dropping-particle":"","family":"Rifa'i","given":"A Badru","non-dropping-particle":"","parse-names":false,"suffix":""},{"dropping-particle":"","family":"Mukarom","given":"Zaenal","non-dropping-particle":"","parse-names":false,"suffix":""},{"dropping-particle":"","family":"Muhtadi","given":"Asep Saeful","non-dropping-particle":"","parse-names":false,"suffix":""}],"container-title":"JURNAL SYNTAX IMPERATIF: Jurnal Ilmu Sosial dan Pendidikan","id":"ITEM-1","issue":"1","issued":{"date-parts":[["2025"]]},"page":"100-106","title":"Komodifikasi Agama dalam Wedding Organizer Syariah: Analisis Dinamika Budaya dan Ekonomi","type":"article-journal","volume":"6"},"uris":["http://www.mendeley.com/documents/?uuid=077d426e-0e17-4525-a601-267c55a56f23"]}],"mendeley":{"formattedCitation":"(Rifa’i et al., 2025)","plainTextFormattedCitation":"(Rifa’i et al., 2025)","previouslyFormattedCitation":"(Rifa’i et al., 2025)"},"properties":{"noteIndex":0},"schema":"https://github.com/citation-style-language/schema/raw/master/csl-citation.json"}</w:instrText>
      </w:r>
      <w:r w:rsidR="000733C8">
        <w:rPr>
          <w:lang w:val="id-ID"/>
        </w:rPr>
        <w:fldChar w:fldCharType="separate"/>
      </w:r>
      <w:r w:rsidR="000733C8" w:rsidRPr="000733C8">
        <w:rPr>
          <w:noProof/>
          <w:lang w:val="id-ID"/>
        </w:rPr>
        <w:t>(Rifa’i et al., 2025)</w:t>
      </w:r>
      <w:r w:rsidR="000733C8">
        <w:rPr>
          <w:lang w:val="id-ID"/>
        </w:rPr>
        <w:fldChar w:fldCharType="end"/>
      </w:r>
      <w:r w:rsidRPr="000733C8">
        <w:rPr>
          <w:lang w:val="id-ID"/>
        </w:rPr>
        <w:t xml:space="preserve"> dan internasionalisasi pasar kesalehan (</w:t>
      </w:r>
      <w:r w:rsidRPr="000733C8">
        <w:rPr>
          <w:i/>
          <w:iCs/>
          <w:lang w:val="id-ID"/>
        </w:rPr>
        <w:t>marketization of piety</w:t>
      </w:r>
      <w:r w:rsidRPr="000733C8">
        <w:rPr>
          <w:lang w:val="id-ID"/>
        </w:rPr>
        <w:t>)</w:t>
      </w:r>
      <w:r w:rsidR="000733C8">
        <w:rPr>
          <w:lang w:val="id-ID"/>
        </w:rPr>
        <w:fldChar w:fldCharType="begin" w:fldLock="1"/>
      </w:r>
      <w:r w:rsidR="00FA5B27">
        <w:rPr>
          <w:lang w:val="id-ID"/>
        </w:rPr>
        <w:instrText>ADDIN CSL_CITATION {"citationItems":[{"id":"ITEM-1","itemData":{"DOI":"10.1177/14705931241261000","ISSN":"1470-5931","abstract":"Marketization is a profound force transforming societies, including how people relate to and practice religion. Drawing from a synthesis of interdisciplinary studies, we approach marketization as a megatrend, explicating how its global spread beyond the advanced economies of the United States and Western Europe is leading to significant changes in religion and its marketplace articulations. We identify four specific ways in which marketization’s global spread influences religion: detraditionalization, re-publicization, dedifferentiation, and deterritorialization. We map these four areas of influence at the intersection of religion and consumption. In so doing, we identify several under-theorized areas in consumer research and offer six future research directions: (1) new non-institutional stages of religious performance, (2) transhumanism as a new religion, (3) new religious authorities, (4) transnational networks of religious service movements, (5) prosperity religion in non-Western and non-Christian contexts, and (6) resistance to marketization. We advance marketing theory by drawing attention to the megatrend of globalizing marketization that we argue should inform the future of the study of religion in consumer research.","author":[{"dropping-particle":"","family":"Izberk-Bilgin","given":"Elif","non-dropping-particle":"","parse-names":false,"suffix":""},{"dropping-particle":"","family":"Belk","given":"Russell W","non-dropping-particle":"","parse-names":false,"suffix":""}],"container-title":"Marketing Theory","id":"ITEM-1","issue":"1","issued":{"date-parts":[["2025","3","16"]]},"page":"57-76","title":"Religion in neoliberal times: The global spread of marketization, implications for religion, and future research directions","type":"article-journal","volume":"25"},"uris":["http://www.mendeley.com/documents/?uuid=4620880d-9ff4-45f1-99bb-4075d5161a0f"]}],"mendeley":{"formattedCitation":"(Izberk-Bilgin &amp; Belk, 2025)","plainTextFormattedCitation":"(Izberk-Bilgin &amp; Belk, 2025)","previouslyFormattedCitation":"(Izberk-Bilgin &amp; Belk, 2025)"},"properties":{"noteIndex":0},"schema":"https://github.com/citation-style-language/schema/raw/master/csl-citation.json"}</w:instrText>
      </w:r>
      <w:r w:rsidR="000733C8">
        <w:rPr>
          <w:lang w:val="id-ID"/>
        </w:rPr>
        <w:fldChar w:fldCharType="separate"/>
      </w:r>
      <w:r w:rsidR="000733C8" w:rsidRPr="000733C8">
        <w:rPr>
          <w:noProof/>
          <w:lang w:val="id-ID"/>
        </w:rPr>
        <w:t>(Izberk-Bilgin &amp; Belk, 2025)</w:t>
      </w:r>
      <w:r w:rsidR="000733C8">
        <w:rPr>
          <w:lang w:val="id-ID"/>
        </w:rPr>
        <w:fldChar w:fldCharType="end"/>
      </w:r>
      <w:r w:rsidRPr="000733C8">
        <w:rPr>
          <w:lang w:val="id-ID"/>
        </w:rPr>
        <w:t xml:space="preserve"> sebagaimana dikembangkan oleh para sosiolog kontemporer seperti Bryan Turner dan Greg Fealy. Di era digital, ekspresi kesalehan masyarakat perkotaan tidak lagi bersifat privat atau abstrak, melainkan termaterialisasi secara nyata melalui pilihan estetika konsumsi yang mengkristal menjadi tren </w:t>
      </w:r>
      <w:r w:rsidRPr="000733C8">
        <w:rPr>
          <w:i/>
          <w:iCs/>
          <w:lang w:val="id-ID"/>
        </w:rPr>
        <w:t>halal lifestyle</w:t>
      </w:r>
      <w:r w:rsidRPr="000733C8">
        <w:rPr>
          <w:lang w:val="id-ID"/>
        </w:rPr>
        <w:t xml:space="preserve"> (gaya hidup halal). Agama tidak lagi dipandang semata-mata sebagai seperangkat doktrin teologis normatif, melainkan telah menjelma menjadi sebuah identitas budaya visual (</w:t>
      </w:r>
      <w:r w:rsidRPr="000733C8">
        <w:rPr>
          <w:i/>
          <w:iCs/>
          <w:lang w:val="id-ID"/>
        </w:rPr>
        <w:t>visual culture</w:t>
      </w:r>
      <w:r w:rsidRPr="000733C8">
        <w:rPr>
          <w:lang w:val="id-ID"/>
        </w:rPr>
        <w:t>) dan komoditas ekonomi yang memandu preferensi konsumsi harian mulai dari pilihan kuliner, kosmetika, arsitektur hunian, hingga orientasi berbusana (</w:t>
      </w:r>
      <w:r w:rsidRPr="000733C8">
        <w:rPr>
          <w:i/>
          <w:iCs/>
          <w:lang w:val="id-ID"/>
        </w:rPr>
        <w:t>modest fashion</w:t>
      </w:r>
      <w:r w:rsidRPr="000733C8">
        <w:rPr>
          <w:lang w:val="id-ID"/>
        </w:rPr>
        <w:t>). Ruang siber kemudian hadir sebagai akselerator utama yang mengintegrasikan pencarian identitas keagamaan dengan sirkulasi kapital industri halal perkotaan.</w:t>
      </w:r>
    </w:p>
    <w:p w14:paraId="50C0850A" w14:textId="30ED907D" w:rsidR="00FB6BE6" w:rsidRPr="000733C8" w:rsidRDefault="00FB6BE6" w:rsidP="00FB6BE6">
      <w:pPr>
        <w:ind w:firstLine="567"/>
        <w:jc w:val="both"/>
        <w:rPr>
          <w:lang w:val="id-ID"/>
        </w:rPr>
      </w:pPr>
      <w:r w:rsidRPr="000733C8">
        <w:rPr>
          <w:lang w:val="id-ID"/>
        </w:rPr>
        <w:t xml:space="preserve">Sinilah letak permasalahan yang ada, karena sebagian besar penelitian sebelumnya cenderung mendekati studi tentang religiositas perkotaan secara sepihak; beberapa penelitian telah meneliti fenomena </w:t>
      </w:r>
      <w:r w:rsidRPr="000733C8">
        <w:rPr>
          <w:i/>
          <w:iCs/>
          <w:lang w:val="id-ID"/>
        </w:rPr>
        <w:t>Sufisme Siber</w:t>
      </w:r>
      <w:r w:rsidRPr="000733C8">
        <w:rPr>
          <w:lang w:val="id-ID"/>
        </w:rPr>
        <w:t xml:space="preserve"> secara terpisah, sementara yang lain menganalisis gerakan dakwah Salafi secara terpisah</w:t>
      </w:r>
      <w:r w:rsidR="0079362F" w:rsidRPr="000733C8">
        <w:rPr>
          <w:lang w:val="id-ID"/>
        </w:rPr>
        <w:fldChar w:fldCharType="begin" w:fldLock="1"/>
      </w:r>
      <w:r w:rsidR="0079362F" w:rsidRPr="000733C8">
        <w:rPr>
          <w:lang w:val="id-ID"/>
        </w:rPr>
        <w:instrText>ADDIN CSL_CITATION {"citationItems":[{"id":"ITEM-1","itemData":{"DOI":"10.37567/alwatzikhoebillah.v10i2.3402","ISSN":"2442-384X","abstract":"The digital era has brought about major changes in the social, cultural, and religious order of society, including in religious practices and thoughts. Amidst these dynamics, Sufism and Salafi as two major schools of thought in Islam face new complex challenges and opportunities. This study aims to investigate how the two schools adapt to social, cultural, and technological changes in the context of a modern, digitalized urban setting. Using qualitative research methods based on text analysis and participant observation, this study explores patterns and themes that emerge in the interaction of these two schools with urban society and digital media. The results show that Sufism utilizes digital technology to expand the reach of its teachings globally and create a strong virtual community, despite facing challenges related to authenticity and internal polarization. Meanwhile, Salafi focuses on consistency with the pure teachings of Islam through educational institutions, da'wah centers, and selective use of social media, despite often facing negative stigma and challenges of social adaptation. This study concludes that the adaptation of Sufism and Salafi reflects the dynamic religious transformation in the contemporary era, while providing strategic insights to support social harmony and religious integration in a complex urban society.","author":[{"dropping-particle":"","family":"Kartika","given":"","non-dropping-particle":"","parse-names":false,"suffix":""},{"dropping-particle":"","family":"Thalib","given":"Abdullah","non-dropping-particle":"","parse-names":false,"suffix":""},{"dropping-particle":"","family":"Amri","given":"Muh.","non-dropping-particle":"","parse-names":false,"suffix":""}],"container-title":"Jurnal Alwatzikhoebillah : Kajian Islam, Pendidikan, Ekonomi, Humaniora","id":"ITEM-1","issue":"2","issued":{"date-parts":[["2024"]]},"page":"557-567","title":"Urban Sufisme dan Urban Salafi pada Era Digital","type":"article-journal","volume":"10"},"uris":["http://www.mendeley.com/documents/?uuid=c3b98d36-5d69-4328-9afe-63936a3a6ff3"]}],"mendeley":{"formattedCitation":"(Kartika et al., 2024)","plainTextFormattedCitation":"(Kartika et al., 2024)","previouslyFormattedCitation":"(Kartika et al., 2024)"},"properties":{"noteIndex":0},"schema":"https://github.com/citation-style-language/schema/raw/master/csl-citation.json"}</w:instrText>
      </w:r>
      <w:r w:rsidR="0079362F" w:rsidRPr="000733C8">
        <w:rPr>
          <w:lang w:val="id-ID"/>
        </w:rPr>
        <w:fldChar w:fldCharType="separate"/>
      </w:r>
      <w:r w:rsidR="0079362F" w:rsidRPr="000733C8">
        <w:rPr>
          <w:noProof/>
          <w:lang w:val="id-ID"/>
        </w:rPr>
        <w:t>(Kartika et al., 2024)</w:t>
      </w:r>
      <w:r w:rsidR="0079362F" w:rsidRPr="000733C8">
        <w:rPr>
          <w:lang w:val="id-ID"/>
        </w:rPr>
        <w:fldChar w:fldCharType="end"/>
      </w:r>
      <w:r w:rsidRPr="000733C8">
        <w:rPr>
          <w:lang w:val="id-ID"/>
        </w:rPr>
        <w:t>. Penelitian komparatif yang meneliti cakupan pengaruh Sufisme Perkotaan dan Salafisme Perkotaan secara paralel masih sangat jarang, terutama terkait bagaimana kedua aliran pemikiran yang kontras ini merespons dan menegosiasikan otoritas keagamaan mereka di dalam ekosistem perkotaan kontemporer yang padat dan sepenuhnya digital.</w:t>
      </w:r>
    </w:p>
    <w:p w14:paraId="380136A0" w14:textId="6DBC90D2" w:rsidR="00FB6BE6" w:rsidRPr="000733C8" w:rsidRDefault="00FB6BE6" w:rsidP="00FB6BE6">
      <w:pPr>
        <w:ind w:firstLine="567"/>
        <w:jc w:val="both"/>
        <w:rPr>
          <w:lang w:val="id-ID"/>
        </w:rPr>
      </w:pPr>
      <w:r w:rsidRPr="000733C8">
        <w:rPr>
          <w:lang w:val="id-ID"/>
        </w:rPr>
        <w:t>Selain adanya fragmentasi studi yang memisahkan analisis kedua gerakan tersebut, keterbatasan mendasar dari literatur akademis sejauh ini adalah kecenderungan untuk menganalisis fenomena Sufisme Perkotaan dan gerakan Salafi semata-mata dari kacamata sosiologi agama murni tanpa mengaitkannya dengan struktur ekonomi pasar. Studi terdahulu sering kali mengabaikan fakta empiris bahwa kontestasi wacana keagamaan antara kelompok Sufi yang inklusif esoteris dan Salafi yang literalis skripturalis di media sosial sebenarnya beroperasi sebagai pembentuk budaya selera (</w:t>
      </w:r>
      <w:r w:rsidRPr="000733C8">
        <w:rPr>
          <w:i/>
          <w:iCs/>
          <w:lang w:val="id-ID"/>
        </w:rPr>
        <w:t>taste cultures</w:t>
      </w:r>
      <w:r w:rsidRPr="000733C8">
        <w:rPr>
          <w:lang w:val="id-ID"/>
        </w:rPr>
        <w:t>) yang berbeda, meminjam konsep distingsi sosial Pierre Bourdieu. Wacana kemurnian akidah yang dibawa Salafi dan 'pembersihan jiwa' yang ditawarkan Urban Sufi tidak hanya memperebutkan otoritas keagamaan digital, tetapi secara laten melakukan segmentasi pasar terhadap industri halal domestik. Akibatnya, terdapat kekosongan analisis (</w:t>
      </w:r>
      <w:r w:rsidRPr="000733C8">
        <w:rPr>
          <w:i/>
          <w:iCs/>
          <w:lang w:val="id-ID"/>
        </w:rPr>
        <w:t>research gap</w:t>
      </w:r>
      <w:r w:rsidRPr="000733C8">
        <w:rPr>
          <w:lang w:val="id-ID"/>
        </w:rPr>
        <w:t>) yang signifikan mengenai bagaimana proses negosiasi otoritas keagamaan di ruang digital ini berimplikasi langsung pada pergeseran tren, polarisasi perilaku konsumen muslim perkotaan, dan dinamika kewirausahaan berbasis komunitas.</w:t>
      </w:r>
    </w:p>
    <w:p w14:paraId="18109F6B" w14:textId="46DB6763" w:rsidR="00FB6BE6" w:rsidRPr="000733C8" w:rsidRDefault="0026385F" w:rsidP="00FB6BE6">
      <w:pPr>
        <w:ind w:firstLine="567"/>
        <w:jc w:val="both"/>
        <w:rPr>
          <w:lang w:val="id-ID"/>
        </w:rPr>
      </w:pPr>
      <w:r w:rsidRPr="000733C8">
        <w:rPr>
          <w:lang w:val="id-ID"/>
        </w:rPr>
        <w:t xml:space="preserve">Bertolak dari urgensi teoretis tersebut, penelitian ini bertujuan untuk mengkaji secara komparatif strategi adaptasi siber yang diadopsi oleh Urban Sufisme dan Salafi, dengan fokus utama menganalisis bagaimana dinamika keberagamaan digital dari kedua kutub pemikiran kontras tersebut berimplikasi terhadap pergeseran tren </w:t>
      </w:r>
      <w:r w:rsidRPr="000733C8">
        <w:rPr>
          <w:i/>
          <w:iCs/>
          <w:lang w:val="id-ID"/>
        </w:rPr>
        <w:t>halal lifestyle</w:t>
      </w:r>
      <w:r w:rsidRPr="000733C8">
        <w:rPr>
          <w:lang w:val="id-ID"/>
        </w:rPr>
        <w:t xml:space="preserve"> masyarakat perkotaan. Melalui pisau analisis sosiologi ekonomi Islam, penelitian ini tidak hanya berupaya memetakan pola dakwah siber keduanya, melainkan membongkar bagaimana doktrin keagamaan digital ditransformasikan menjadi modalitas ekonomi oleh para pengikutnya di wilayah urban. Dengan demikian, penelitian ini diharapkan mampu memberikan kontribusi teoretis yang lebih berbobot dan segar bagi khazanah keilmuan ekonomi Islam, khususnya dalam menjembatani titik temu antara resiliensi gerakan Islam kontemporer dan peta jalan pengembangan ekosistem industri halal di Indonesia</w:t>
      </w:r>
    </w:p>
    <w:p w14:paraId="1718D702" w14:textId="574B89AF" w:rsidR="00440FD7" w:rsidRPr="000733C8" w:rsidRDefault="00B2436F" w:rsidP="00CA211C">
      <w:pPr>
        <w:autoSpaceDE w:val="0"/>
        <w:spacing w:line="276" w:lineRule="auto"/>
        <w:rPr>
          <w:b/>
          <w:color w:val="000000"/>
          <w:lang w:val="fi-FI"/>
        </w:rPr>
      </w:pPr>
      <w:r w:rsidRPr="000733C8">
        <w:rPr>
          <w:b/>
          <w:color w:val="000000"/>
          <w:lang w:val="id-ID"/>
        </w:rPr>
        <w:lastRenderedPageBreak/>
        <w:t>3</w:t>
      </w:r>
      <w:r w:rsidR="00440FD7" w:rsidRPr="000733C8">
        <w:rPr>
          <w:b/>
          <w:color w:val="000000"/>
          <w:lang w:val="fi-FI"/>
        </w:rPr>
        <w:t xml:space="preserve">. </w:t>
      </w:r>
      <w:r w:rsidR="003B3BA1" w:rsidRPr="000733C8">
        <w:rPr>
          <w:b/>
          <w:color w:val="000000"/>
          <w:lang w:val="fi-FI"/>
        </w:rPr>
        <w:t>Metod</w:t>
      </w:r>
      <w:r w:rsidR="003B3BA1" w:rsidRPr="000733C8">
        <w:rPr>
          <w:b/>
          <w:color w:val="000000"/>
          <w:lang w:val="id-ID"/>
        </w:rPr>
        <w:t>ologi</w:t>
      </w:r>
    </w:p>
    <w:p w14:paraId="7046EACB" w14:textId="77777777" w:rsidR="0026385F" w:rsidRPr="000733C8" w:rsidRDefault="0026385F" w:rsidP="0026385F">
      <w:pPr>
        <w:tabs>
          <w:tab w:val="left" w:pos="284"/>
        </w:tabs>
        <w:spacing w:line="276" w:lineRule="auto"/>
        <w:ind w:firstLine="567"/>
        <w:jc w:val="both"/>
        <w:rPr>
          <w:lang w:val="en-ID"/>
        </w:rPr>
      </w:pPr>
      <w:r w:rsidRPr="000733C8">
        <w:rPr>
          <w:lang w:val="en-ID"/>
        </w:rPr>
        <w:t>Penelitian ini menggunakan pendekatan kualitatif dengan jenis penelitian kepustakaan (</w:t>
      </w:r>
      <w:r w:rsidRPr="000733C8">
        <w:rPr>
          <w:i/>
          <w:iCs/>
          <w:lang w:val="en-ID"/>
        </w:rPr>
        <w:t>library research</w:t>
      </w:r>
      <w:r w:rsidRPr="000733C8">
        <w:rPr>
          <w:lang w:val="en-ID"/>
        </w:rPr>
        <w:t xml:space="preserve">) yang bersifat deskriptif analitis. Fokus utamanya adalah membedah secara mendalam komparasi konseptual antara strategi adaptasi Urban Sufisme di era digital dan gerakan Salafi di era kontemporer, serta mengeksplorasi implikasinya terhadap tren </w:t>
      </w:r>
      <w:r w:rsidRPr="000733C8">
        <w:rPr>
          <w:i/>
          <w:iCs/>
          <w:lang w:val="en-ID"/>
        </w:rPr>
        <w:t>halal lifestyle</w:t>
      </w:r>
      <w:r w:rsidRPr="000733C8">
        <w:rPr>
          <w:lang w:val="en-ID"/>
        </w:rPr>
        <w:t xml:space="preserve"> masyarakat perkotaan melalui teks-teks tertulis. Karena riset ini meneliti fenomena sosial-keagamaan yang bertransformasi ke ruang digital dan berdampak pada perilaku konsumsi modern, kerangka kerja sosiologi digital (</w:t>
      </w:r>
      <w:r w:rsidRPr="000733C8">
        <w:rPr>
          <w:i/>
          <w:iCs/>
          <w:lang w:val="en-ID"/>
        </w:rPr>
        <w:t>digital sociology</w:t>
      </w:r>
      <w:r w:rsidRPr="000733C8">
        <w:rPr>
          <w:lang w:val="en-ID"/>
        </w:rPr>
        <w:t xml:space="preserve">) yang diintegrasikan dengan pendekatan sosiologi ekonomi Islam digunakan sebagai kerangka kerja formal. Pendekatan komparatif diterapkan untuk melihat titik temu dan titik perbedaan dari kedua kutub pemikiran tersebut dalam memengaruhi preferensi pasar dan gaya hidup halal perkotaan. </w:t>
      </w:r>
    </w:p>
    <w:p w14:paraId="6BAA7464" w14:textId="77777777" w:rsidR="0026385F" w:rsidRPr="000733C8" w:rsidRDefault="0026385F" w:rsidP="0026385F">
      <w:pPr>
        <w:tabs>
          <w:tab w:val="left" w:pos="284"/>
        </w:tabs>
        <w:spacing w:line="276" w:lineRule="auto"/>
        <w:ind w:firstLine="567"/>
        <w:jc w:val="both"/>
        <w:rPr>
          <w:lang w:val="it-IT"/>
        </w:rPr>
      </w:pPr>
      <w:r w:rsidRPr="000733C8">
        <w:rPr>
          <w:lang w:val="it-IT"/>
        </w:rPr>
        <w:t xml:space="preserve">Sumber data dalam penelitian ini dibagi menjadi dua kategori, yaitu data primer dan data sekunder. Data primer diperoleh dari dokumen digital, artikel ilmiah utama, buku, naskah draf akademik yang relevan, serta konten tekstual resmi (seperti fatwa muamalah, anjuran konsumsi, panduan berbusana, dan narasi hijrah) yang dipublikasikan oleh komunitas Urban Sufisme dan Salafi di ruang publik virtual. Sementara itu, data sekunder mencakup buku-buku sosiologi ekonomi, jurnal bereputasi mengenai industri halal, serta laporan riset terdahulu mengenai perilaku konsumen muslim urban yang memperkuat kontekstualisasi masalah. Seluruh data kepustakaan ini dikumpulkan melalui teknik dokumentasi, yaitu dengan melakukan pelacakan, pemilahan, dan pengarsipan teks-teks digital secara daring berdasarkan kata kunci yang relevan dengan tema adaptasi digital, ekspresi keagamaan, dan tren </w:t>
      </w:r>
      <w:r w:rsidRPr="000733C8">
        <w:rPr>
          <w:i/>
          <w:iCs/>
          <w:lang w:val="it-IT"/>
        </w:rPr>
        <w:t>halal lifestyle</w:t>
      </w:r>
      <w:r w:rsidRPr="000733C8">
        <w:rPr>
          <w:lang w:val="it-IT"/>
        </w:rPr>
        <w:t xml:space="preserve">. </w:t>
      </w:r>
    </w:p>
    <w:p w14:paraId="79DB8021" w14:textId="07EDD21F" w:rsidR="0026385F" w:rsidRPr="000733C8" w:rsidRDefault="0026385F" w:rsidP="0026385F">
      <w:pPr>
        <w:tabs>
          <w:tab w:val="left" w:pos="284"/>
        </w:tabs>
        <w:spacing w:line="276" w:lineRule="auto"/>
        <w:ind w:firstLine="567"/>
        <w:jc w:val="both"/>
        <w:rPr>
          <w:lang w:val="en-ID"/>
        </w:rPr>
      </w:pPr>
      <w:r w:rsidRPr="000733C8">
        <w:rPr>
          <w:lang w:val="en-ID"/>
        </w:rPr>
        <w:t>Teknik analisis data yang digunakan dalam riset ini adalah analisis isi (</w:t>
      </w:r>
      <w:r w:rsidRPr="000733C8">
        <w:rPr>
          <w:i/>
          <w:iCs/>
          <w:lang w:val="en-ID"/>
        </w:rPr>
        <w:t>content analysis</w:t>
      </w:r>
      <w:r w:rsidRPr="000733C8">
        <w:rPr>
          <w:lang w:val="en-ID"/>
        </w:rPr>
        <w:t>) dan analisis tekstual secara mendalam (</w:t>
      </w:r>
      <w:r w:rsidRPr="000733C8">
        <w:rPr>
          <w:i/>
          <w:iCs/>
          <w:lang w:val="en-ID"/>
        </w:rPr>
        <w:t>hermeneutik-tekstual</w:t>
      </w:r>
      <w:r w:rsidRPr="000733C8">
        <w:rPr>
          <w:lang w:val="en-ID"/>
        </w:rPr>
        <w:t>). Proses analisis diawali dengan reduksi data, di mana teks-teks yang telah dikumpulkan dikelompokkan berdasarkan dua tema besar, yaitu corak pembentukan budaya selera (</w:t>
      </w:r>
      <w:r w:rsidRPr="000733C8">
        <w:rPr>
          <w:i/>
          <w:iCs/>
          <w:lang w:val="en-ID"/>
        </w:rPr>
        <w:t>taste cultures</w:t>
      </w:r>
      <w:r w:rsidRPr="000733C8">
        <w:rPr>
          <w:lang w:val="en-ID"/>
        </w:rPr>
        <w:t>) konsumsi pada kelompok Sufi modern, serta respons normatif-struktural terhadap pasar halal pada kelompok Salafi urban. Setelah data dikelompokkan, dilakukan interpretasi tekstual menggunakan kacamata komodifikasi agama untuk membaca makna di balik teks, strategi wacana yang digunakan, serta bagaimana kedua gerakan ini menegosiasikan doktrin klasik mereka agar bertransformasi menjadi tren gaya hidup praktis bagi masyarakat modern. Tahap akhir dari metode ini adalah penarikan kesimpulan melalui teknik triangulasi data pustaka untuk menghasilkan sebuah sintesis teoretis baru yang valid mengenai pengaruh gerakan Islam kontemporer terhadap ekosistem industri halal perkotaan.</w:t>
      </w:r>
    </w:p>
    <w:p w14:paraId="7B950F6C" w14:textId="164948C3" w:rsidR="001F2183" w:rsidRPr="000733C8" w:rsidRDefault="001F2183" w:rsidP="00DF62E2">
      <w:pPr>
        <w:pStyle w:val="ListParagraph"/>
        <w:numPr>
          <w:ilvl w:val="0"/>
          <w:numId w:val="8"/>
        </w:numPr>
        <w:autoSpaceDE w:val="0"/>
        <w:ind w:left="426"/>
        <w:rPr>
          <w:rFonts w:ascii="Times New Roman" w:hAnsi="Times New Roman"/>
          <w:b/>
          <w:color w:val="000000"/>
          <w:sz w:val="24"/>
          <w:szCs w:val="24"/>
          <w:lang w:val="fi-FI"/>
        </w:rPr>
      </w:pPr>
      <w:r w:rsidRPr="000733C8">
        <w:rPr>
          <w:rFonts w:ascii="Times New Roman" w:hAnsi="Times New Roman"/>
          <w:b/>
          <w:color w:val="000000"/>
          <w:sz w:val="24"/>
          <w:szCs w:val="24"/>
          <w:lang w:val="fi-FI"/>
        </w:rPr>
        <w:t>Hasil dan Pembahasan</w:t>
      </w:r>
    </w:p>
    <w:p w14:paraId="21174F48" w14:textId="354858D2" w:rsidR="00DF62E2" w:rsidRPr="000733C8" w:rsidRDefault="00DF62E2" w:rsidP="0098594E">
      <w:pPr>
        <w:pStyle w:val="ListParagraph"/>
        <w:numPr>
          <w:ilvl w:val="1"/>
          <w:numId w:val="8"/>
        </w:numPr>
        <w:autoSpaceDE w:val="0"/>
        <w:spacing w:after="0"/>
        <w:ind w:left="714" w:hanging="357"/>
        <w:contextualSpacing w:val="0"/>
        <w:rPr>
          <w:rFonts w:ascii="Times New Roman" w:hAnsi="Times New Roman"/>
          <w:b/>
          <w:i/>
          <w:iCs/>
          <w:color w:val="000000"/>
          <w:sz w:val="24"/>
          <w:szCs w:val="24"/>
          <w:lang w:val="fi-FI"/>
        </w:rPr>
      </w:pPr>
      <w:r w:rsidRPr="000733C8">
        <w:rPr>
          <w:rFonts w:ascii="Times New Roman" w:hAnsi="Times New Roman"/>
          <w:b/>
          <w:i/>
          <w:iCs/>
          <w:color w:val="000000"/>
          <w:sz w:val="24"/>
          <w:szCs w:val="24"/>
        </w:rPr>
        <w:t>Komodifikasi Estetika Spiritual: Adaptasi Siber Urban Sufisme dalam Membentuk Tren Halal Lifestyle yang Inklusif.</w:t>
      </w:r>
    </w:p>
    <w:p w14:paraId="2EBA556F" w14:textId="51F86B01" w:rsidR="00DF62E2" w:rsidRPr="000733C8" w:rsidRDefault="00DF62E2" w:rsidP="0098594E">
      <w:pPr>
        <w:pStyle w:val="ListParagraph"/>
        <w:numPr>
          <w:ilvl w:val="2"/>
          <w:numId w:val="8"/>
        </w:numPr>
        <w:spacing w:after="0"/>
        <w:ind w:left="567" w:hanging="491"/>
        <w:contextualSpacing w:val="0"/>
        <w:jc w:val="both"/>
        <w:rPr>
          <w:rFonts w:ascii="Times New Roman" w:hAnsi="Times New Roman"/>
          <w:i/>
          <w:iCs/>
          <w:sz w:val="24"/>
          <w:szCs w:val="24"/>
          <w:lang w:val="fi-FI"/>
        </w:rPr>
      </w:pPr>
      <w:r w:rsidRPr="000733C8">
        <w:rPr>
          <w:rFonts w:ascii="Times New Roman" w:hAnsi="Times New Roman"/>
          <w:i/>
          <w:iCs/>
          <w:sz w:val="24"/>
          <w:szCs w:val="24"/>
          <w:lang w:val="fi-FI"/>
        </w:rPr>
        <w:t>Sejarah Sufime dan transformasi</w:t>
      </w:r>
    </w:p>
    <w:p w14:paraId="3B1752DC" w14:textId="28A8E75B" w:rsidR="00DF62E2" w:rsidRPr="000733C8" w:rsidRDefault="00DF62E2" w:rsidP="0098594E">
      <w:pPr>
        <w:spacing w:line="276" w:lineRule="auto"/>
        <w:ind w:firstLine="567"/>
        <w:jc w:val="both"/>
        <w:rPr>
          <w:lang w:val="fi-FI"/>
        </w:rPr>
      </w:pPr>
      <w:r w:rsidRPr="000733C8">
        <w:rPr>
          <w:lang w:val="fi-FI"/>
        </w:rPr>
        <w:t>Menurut Abdul Hadi(2009), asal-usul sufisme dapat ditelusuri dari abad ke-3 dan ke-4 H atau abad ke-9 dan ke-10 M. Pada masa itu, tasawuf telah berkembang pesat di berbagai wilayah seperti Arab, Persia, Afghanistan, dan Asia Tengah</w:t>
      </w:r>
      <w:r w:rsidR="0079362F" w:rsidRPr="000733C8">
        <w:rPr>
          <w:lang w:val="fi-FI"/>
        </w:rPr>
        <w:fldChar w:fldCharType="begin" w:fldLock="1"/>
      </w:r>
      <w:r w:rsidR="0079362F" w:rsidRPr="000733C8">
        <w:rPr>
          <w:lang w:val="fi-FI"/>
        </w:rPr>
        <w:instrText>ADDIN CSL_CITATION {"citationItems":[{"id":"ITEM-1","itemData":{"DOI":"https://doi.org/10.59837/jpnmb.v1i12.417","author":[{"dropping-particle":"","family":"Achmad","given":"Maulana","non-dropping-particle":"","parse-names":false,"suffix":""},{"dropping-particle":"","family":"Ichsan","given":"Maghfur","non-dropping-particle":"","parse-names":false,"suffix":""},{"dropping-particle":"","family":"Fanani","given":"Achmad Wildan","non-dropping-particle":"","parse-names":false,"suffix":""},{"dropping-particle":"","family":"Nuril","given":"Faradilla","non-dropping-particle":"","parse-names":false,"suffix":""},{"dropping-particle":"","family":"Evriza","given":"Hanna","non-dropping-particle":"","parse-names":false,"suffix":""},{"dropping-particle":"","family":"Rahmi","given":"Febriana","non-dropping-particle":"","parse-names":false,"suffix":""},{"dropping-particle":"","family":"Pahlevi","given":"Maulana Reza","non-dropping-particle":"","parse-names":false,"suffix":""}],"container-title":"JURNAL PENELITIAN MULTIDISIPLIN BANGSA","id":"ITEM-1","issue":"12","issued":{"date-parts":[["2025"]]},"page":"2122-2129","title":"Sistem Hukum Adat Suku Mandar di Sulawesi Barat dalam Mendapatkan Hak dan Kewajiban dalam Struktur Sosial","type":"article-journal","volume":"1"},"uris":["http://www.mendeley.com/documents/?uuid=b80f9ce7-9952-39a7-a863-0cb907ac7e61"]}],"mendeley":{"formattedCitation":"(Achmad et al., 2025)","plainTextFormattedCitation":"(Achmad et al., 2025)","previouslyFormattedCitation":"(Achmad et al., 2025)"},"properties":{"noteIndex":0},"schema":"https://github.com/citation-style-language/schema/raw/master/csl-citation.json"}</w:instrText>
      </w:r>
      <w:r w:rsidR="0079362F" w:rsidRPr="000733C8">
        <w:rPr>
          <w:lang w:val="fi-FI"/>
        </w:rPr>
        <w:fldChar w:fldCharType="separate"/>
      </w:r>
      <w:r w:rsidR="0079362F" w:rsidRPr="000733C8">
        <w:rPr>
          <w:noProof/>
          <w:lang w:val="fi-FI"/>
        </w:rPr>
        <w:t>(Achmad et al., 2025)</w:t>
      </w:r>
      <w:r w:rsidR="0079362F" w:rsidRPr="000733C8">
        <w:rPr>
          <w:lang w:val="fi-FI"/>
        </w:rPr>
        <w:fldChar w:fldCharType="end"/>
      </w:r>
      <w:r w:rsidRPr="000733C8">
        <w:rPr>
          <w:lang w:val="fi-FI"/>
        </w:rPr>
        <w:t xml:space="preserve">. Beberapa tokoh sufi terkemuka memiliki banyak murid dan pengikut. Di antara para murid dan pengikut para sufi terkemuka ini, banyak yang secara aktif menempuh pendidikan formal di lembaga pendidikan </w:t>
      </w:r>
      <w:r w:rsidRPr="000733C8">
        <w:rPr>
          <w:lang w:val="fi-FI"/>
        </w:rPr>
        <w:lastRenderedPageBreak/>
        <w:t>sufi (ribbat, sejenis pesantren Islam)</w:t>
      </w:r>
      <w:r w:rsidR="0079362F" w:rsidRPr="000733C8">
        <w:rPr>
          <w:lang w:val="fi-FI"/>
        </w:rPr>
        <w:fldChar w:fldCharType="begin" w:fldLock="1"/>
      </w:r>
      <w:r w:rsidR="00DA1874" w:rsidRPr="000733C8">
        <w:rPr>
          <w:lang w:val="fi-FI"/>
        </w:rPr>
        <w:instrText>ADDIN CSL_CITATION {"citationItems":[{"id":"ITEM-1","itemData":{"DOI":"10.20871/kpjipm.v10i1.247","ISSN":"2442-5451","abstract":"The rise of global terrorism presents a critical challenge to peace and stability worldwide, fueled by divisive ideologies that promote hatred and violence. There is a growing need for alternative frameworks that promote understanding, tolerance, and reconciliation. This paper explores the doctrine of Sufi philosophy as a powerful antidote to global terrorism, examining its principles and practices in fostering peace and countering extremist ideologies. A comprehensive review of literature on Sufi philosophy, Islamic mysticism, and counter-terrorism strategies was conducted to elucidate the principles and practices of Sufism in promoting peace and countering extremist narratives. The findings reveal that Sufi philosophy embodies principles of love, compassion, and spiritual enlightenment, potent antidotes to the rhetoric of hatred and violence propagated by extremist groups. Sufi teachings emphasize the interconnectedness of humanity, fostering a culture of tolerance, understanding, and mutual respect. In conclusion, the doctrine of Sufi philosophy offers a transformative framework for countering global terrorism by addressing its root causes of ignorance, fear, and alienation. Through its emphasis on love, compassion, and spiritual enlightenment, Sufism provides a compelling alternative to extremist ideologies, inspiring individuals and communities worldwide to embrace a path of peace, unity, and understanding.","author":[{"dropping-particle":"","family":"Mir","given":"Saroosh Ahmad","non-dropping-particle":"","parse-names":false,"suffix":""}],"container-title":"Kanz Philosophia: A Journal for Islamic Philosophy and Mysticism","id":"ITEM-1","issue":"1","issued":{"date-parts":[["2024"]]},"publisher":"Sekolah Tinggi Filsafat Islam Sadra","title":"the Doctrine of Sufi Philosophy As a Powerful Antidote To Global Terrorism","type":"article-journal","volume":"10"},"uris":["http://www.mendeley.com/documents/?uuid=29e9c94b-4af3-4bf2-a5c8-a5267057d306"]}],"mendeley":{"formattedCitation":"(Mir, 2024)","plainTextFormattedCitation":"(Mir, 2024)","previouslyFormattedCitation":"(Mir, 2024)"},"properties":{"noteIndex":0},"schema":"https://github.com/citation-style-language/schema/raw/master/csl-citation.json"}</w:instrText>
      </w:r>
      <w:r w:rsidR="0079362F" w:rsidRPr="000733C8">
        <w:rPr>
          <w:lang w:val="fi-FI"/>
        </w:rPr>
        <w:fldChar w:fldCharType="separate"/>
      </w:r>
      <w:r w:rsidR="0079362F" w:rsidRPr="000733C8">
        <w:rPr>
          <w:noProof/>
          <w:lang w:val="fi-FI"/>
        </w:rPr>
        <w:t>(Mir, 2024)</w:t>
      </w:r>
      <w:r w:rsidR="0079362F" w:rsidRPr="000733C8">
        <w:rPr>
          <w:lang w:val="fi-FI"/>
        </w:rPr>
        <w:fldChar w:fldCharType="end"/>
      </w:r>
      <w:r w:rsidRPr="000733C8">
        <w:rPr>
          <w:lang w:val="fi-FI"/>
        </w:rPr>
        <w:t>. Di antara para sufi yang memiliki banyak murid adalah Junaid al-Baghdadi dan Abu Said al-Khayr.</w:t>
      </w:r>
    </w:p>
    <w:p w14:paraId="08D2A2CF" w14:textId="19CA32EF" w:rsidR="00DF62E2" w:rsidRPr="000733C8" w:rsidRDefault="00DF62E2" w:rsidP="0098594E">
      <w:pPr>
        <w:spacing w:line="276" w:lineRule="auto"/>
        <w:ind w:firstLine="567"/>
        <w:jc w:val="both"/>
        <w:rPr>
          <w:lang w:val="fi-FI"/>
        </w:rPr>
      </w:pPr>
      <w:r w:rsidRPr="000733C8">
        <w:rPr>
          <w:lang w:val="fi-FI"/>
        </w:rPr>
        <w:t>Abad-abad awal Islamisasi Asia Tenggara bertepatan dengan masa ketika tasawuf dan perkembangan tarekat-tarekat sufi abad pertengahan sedang menyebar. Abu Hamid al-Ghazali, yang telah mengemukakan konsep tasawuf etis moderat yang dapat diterima oleh para fuqaha, wafat pada tahun 1111 M</w:t>
      </w:r>
      <w:r w:rsidR="00DA1874" w:rsidRPr="000733C8">
        <w:rPr>
          <w:lang w:val="fi-FI"/>
        </w:rPr>
        <w:fldChar w:fldCharType="begin" w:fldLock="1"/>
      </w:r>
      <w:r w:rsidR="00DA1874" w:rsidRPr="000733C8">
        <w:rPr>
          <w:lang w:val="fi-FI"/>
        </w:rPr>
        <w:instrText>ADDIN CSL_CITATION {"citationItems":[{"id":"ITEM-1","itemData":{"DOI":"10.30762/qof.v6i2.340","ISSN":"2598-5817","abstract":"Sholeh Darat was an interpreter born in the late 19th century who wrote the Fayḍ al-Raḥmān interpretation, the first Javanese interpretation in Indonesia. Sholeh Darat was a kiai who became the teacher of kiai in Java. This article wanted to reveal how the formula for conflict resolution was carried out by Sholeh Darat through his commentary and his contribution in Indonesia. Using the descriptive-analytical-historical method, this article found: first, Sholeh Darat carried out a conflict resolution between the commentators and their dhahiriah and inner tendencies. This resolution effort was made by Sholeh Darat by accommodating both meanings in understanding the Koran with the Sufi-ishari interpretation method used in the interpretation. Second, conflict resolution between the sharia (fuqaha) and Islam Kejawen (essence). This resolution was used in his interpretation as an effort to reconcile the two groups, namely by using the sharia strata to reach the level of essence. These two conflict resolution thoughts had a major role and contribution to the religious situation in Indonesia which is channelled through his two students, KH. Ahmad Dahlan as the founder of Muhamadiyyah and KH. Hasyim Asy'ari, the founder of Nahdlatul Ulama (NU).","author":[{"dropping-particle":"","family":"Aziz","given":"Thoriqul","non-dropping-particle":"","parse-names":false,"suffix":""},{"dropping-particle":"","family":"Badruzaman","given":"Abad","non-dropping-particle":"","parse-names":false,"suffix":""}],"container-title":"Qof","id":"ITEM-1","issue":"2","issued":{"date-parts":[["2022"]]},"page":"199-218","publisher":"State College of Islamic Studies (STAIN) Kediri","title":"Resolusi Konflik menurut KH. Sholeh Darat: Studi Tafsir Fayḍ al-Raḥmān","type":"article-journal","volume":"6"},"uris":["http://www.mendeley.com/documents/?uuid=29c41e7b-aab0-414c-a1a9-14262d96dc75"]}],"mendeley":{"formattedCitation":"(Aziz &amp; Badruzaman, 2022)","plainTextFormattedCitation":"(Aziz &amp; Badruzaman, 2022)","previouslyFormattedCitation":"(Aziz &amp; Badruzaman, 2022)"},"properties":{"noteIndex":0},"schema":"https://github.com/citation-style-language/schema/raw/master/csl-citation.json"}</w:instrText>
      </w:r>
      <w:r w:rsidR="00DA1874" w:rsidRPr="000733C8">
        <w:rPr>
          <w:lang w:val="fi-FI"/>
        </w:rPr>
        <w:fldChar w:fldCharType="separate"/>
      </w:r>
      <w:r w:rsidR="00DA1874" w:rsidRPr="000733C8">
        <w:rPr>
          <w:noProof/>
          <w:lang w:val="fi-FI"/>
        </w:rPr>
        <w:t>(Aziz &amp; Badruzaman, 2022)</w:t>
      </w:r>
      <w:r w:rsidR="00DA1874" w:rsidRPr="000733C8">
        <w:rPr>
          <w:lang w:val="fi-FI"/>
        </w:rPr>
        <w:fldChar w:fldCharType="end"/>
      </w:r>
      <w:r w:rsidRPr="000733C8">
        <w:rPr>
          <w:lang w:val="fi-FI"/>
        </w:rPr>
        <w:t>. Demikian pula, Ibn ‘Arabi, yang karya-karyanya sangat memengaruhi ajaran hampir semua sufi setelahnya, wafat pada tahun 1240 M. Demikian pula, Syekh Abdul Qadir Al-Jailani, yang ajarannya menjadi dasar tarekat Qadiriyyah, wafat pada tahun 1166</w:t>
      </w:r>
      <w:r w:rsidR="00DA1874" w:rsidRPr="000733C8">
        <w:rPr>
          <w:lang w:val="fi-FI"/>
        </w:rPr>
        <w:fldChar w:fldCharType="begin" w:fldLock="1"/>
      </w:r>
      <w:r w:rsidR="00DA1874" w:rsidRPr="000733C8">
        <w:rPr>
          <w:lang w:val="fi-FI"/>
        </w:rPr>
        <w:instrText>ADDIN CSL_CITATION {"citationItems":[{"id":"ITEM-1","itemData":{"DOI":"10.22515/isnad.v4i1.7428","ISSN":"2798-186X","abstract":"Abstrak\r Penelitian ini menjelaskan tentang dinamika tarekat qodiriyah wa naqsyabandiyah di Temanggung yang disebarkan oleh K.H. Mandhur. Penelitian ini menggunakan metode penelitian sejarah, yakni pemilihan topik, pengumpulan sumber, verifikasi, interpretasi dan penulisan sejarah. Penulis menitikberatkan pada sumber primer berupa peninggalan catatan-catatan K.H. Mandhur, dan wawancara terhadap keturunan K.H. Mandhur serta data pendukung penelitian terdahulu dari sumber buku, artikel, atau berita online. Penelitian ini menghasilkan kesimpulan bahwa: K.H. Mandhur merupakan seorang kiai yang berpengaruh di Temanggung, sehingga pesatnya perkembangan tarekat qodiriah wa naqsyabandiyah di Temanggung tak lain adalah karena perannya dalam menyebarkan tarekat tersebut. Adapun sanad tarekat K.H. Mandhur berasal dari Kiai Umar Payaman yang juga merupakan murid Syekh Zarkasi Berjan murid Syekh Abdul Karim al-Bantani. K.H. Mandhur mulai mengenalkan tarekat sebelum Indonesia merdeka yakni sekitar tahun 1920 di daerah Ngebel dan mulai berpindah tahun 1950 mengajarkan tarekat tersebut di pusat Kota Temanggung sampai wafatnya pada tahun 1980. Sepeninggal K.H. Mandhur, kepemimpinan tarekat diteruskan oleh putranya yaitu K.H. Ahmad Bandnudji sampai sekarang. Eksistensi TQN al-Mandhuriyah terbukti membawa dampak sosial-keagamaan dengan adanya interaksi sosial antar jamaah dari berbagai daerah dengan saling bersilaturahmi dan kegiatan para jamaah seperti manakiban, sewelasan, tawajjuhan, peringatan haul K.H. Mandhur, khalwat, selapanan badal.\r Kata Kunci: Tarekat, TQN al-Mandhuriyyah, K.H. Mandhur, Temanggung.","author":[{"dropping-particle":"","family":"Husna Rosyadi","given":"Muhammad","non-dropping-particle":"","parse-names":false,"suffix":""},{"dropping-particle":"","family":"Fuadi","given":"Moh. Ashif","non-dropping-particle":"","parse-names":false,"suffix":""},{"dropping-particle":"","family":"Kusairi","given":"Latif","non-dropping-particle":"","parse-names":false,"suffix":""},{"dropping-particle":"","family":"Safitry","given":"Martina","non-dropping-particle":"","parse-names":false,"suffix":""},{"dropping-particle":"","family":"Mahanani","given":"Qisthi Faradina Ilma","non-dropping-particle":"","parse-names":false,"suffix":""}],"container-title":"Al-Isnad: Journal of Islamic Civilization History and Humanities","id":"ITEM-1","issue":"1","issued":{"date-parts":[["2023"]]},"page":"54-76","publisher":"IAIN Surakarta","title":"KAJIAN HISTORIS TAREKAT QADIRIYAH NAQSYABANDIYAH AL-MANDHURIYAH TEMANGGUNG: Eksistensi dan Pengaruh Sosial Keagamaannya","type":"article-journal","volume":"4"},"uris":["http://www.mendeley.com/documents/?uuid=c808ade3-bc7b-4a26-881f-c230ade5b9e2"]}],"mendeley":{"formattedCitation":"(Husna Rosyadi et al., 2023)","plainTextFormattedCitation":"(Husna Rosyadi et al., 2023)","previouslyFormattedCitation":"(Husna Rosyadi et al., 2023)"},"properties":{"noteIndex":0},"schema":"https://github.com/citation-style-language/schema/raw/master/csl-citation.json"}</w:instrText>
      </w:r>
      <w:r w:rsidR="00DA1874" w:rsidRPr="000733C8">
        <w:rPr>
          <w:lang w:val="fi-FI"/>
        </w:rPr>
        <w:fldChar w:fldCharType="separate"/>
      </w:r>
      <w:r w:rsidR="00DA1874" w:rsidRPr="000733C8">
        <w:rPr>
          <w:noProof/>
          <w:lang w:val="fi-FI"/>
        </w:rPr>
        <w:t>(Husna Rosyadi et al., 2023)</w:t>
      </w:r>
      <w:r w:rsidR="00DA1874" w:rsidRPr="000733C8">
        <w:rPr>
          <w:lang w:val="fi-FI"/>
        </w:rPr>
        <w:fldChar w:fldCharType="end"/>
      </w:r>
      <w:r w:rsidRPr="000733C8">
        <w:rPr>
          <w:lang w:val="fi-FI"/>
        </w:rPr>
        <w:t>. Ada pula Syekh Najmuddin Kubra (wafat 1221 M), seorang sufi dari Asia Tengah dan pendiri tarekat Kubrawiyyah; Syekh Abul Hasan Ali al-Shadhili (wafat 1258)</w:t>
      </w:r>
      <w:r w:rsidR="00DA1874" w:rsidRPr="000733C8">
        <w:rPr>
          <w:lang w:val="fi-FI"/>
        </w:rPr>
        <w:fldChar w:fldCharType="begin" w:fldLock="1"/>
      </w:r>
      <w:r w:rsidR="00DA1874" w:rsidRPr="000733C8">
        <w:rPr>
          <w:lang w:val="fi-FI"/>
        </w:rPr>
        <w:instrText>ADDIN CSL_CITATION {"citationItems":[{"id":"ITEM-1","itemData":{"DOI":"10.22515/isnad.v2i1.3579","ISSN":"2798-186X","abstract":"Social change is a necessity. Every shift that occurs in society will trigger change. Religion is basically independent, which theoretically can be involved in terms of mutual influence with socio-economic realities. As an independent unit, for its adherents, religion has a high probability of determining patterns of human behavior and the form of social structures. In this way, religious teachings have the possibility to encourage or even restrain the process of social change. The existence of Sufism and tarekat in social life has an important role in social processes, one of which is social change. Through a qualitative descriptive approach with a research library that refers to related sources, this paper provides important point that tarekat has a dual function, namely as a religious-spiritual moral movement that directs its followers to always be close to God, and as a social and political social movement that helps guide its followers to have social sensitivity and care about social conditions, through the practice of teachings or doctrines that have been taught by tarekat organization.","author":[{"dropping-particle":"","family":"Khamim","given":"M.","non-dropping-particle":"","parse-names":false,"suffix":""}],"container-title":"Al-Isnad: Journal of Islamic Civilization History and Humanities","id":"ITEM-1","issue":"1","issued":{"date-parts":[["2022"]]},"page":"65-82","publisher":"IAIN Surakarta","title":"Sufisme dan Perubahan Sosial: Kaum Tarekat dan Dinamika Sosial Keagamaan","type":"article-journal","volume":"2"},"uris":["http://www.mendeley.com/documents/?uuid=4889ded9-70d0-4783-9c1f-ef6e83656ac6"]}],"mendeley":{"formattedCitation":"(Khamim, 2022)","plainTextFormattedCitation":"(Khamim, 2022)","previouslyFormattedCitation":"(Khamim, 2022)"},"properties":{"noteIndex":0},"schema":"https://github.com/citation-style-language/schema/raw/master/csl-citation.json"}</w:instrText>
      </w:r>
      <w:r w:rsidR="00DA1874" w:rsidRPr="000733C8">
        <w:rPr>
          <w:lang w:val="fi-FI"/>
        </w:rPr>
        <w:fldChar w:fldCharType="separate"/>
      </w:r>
      <w:r w:rsidR="00DA1874" w:rsidRPr="000733C8">
        <w:rPr>
          <w:noProof/>
          <w:lang w:val="fi-FI"/>
        </w:rPr>
        <w:t>(Khamim, 2022)</w:t>
      </w:r>
      <w:r w:rsidR="00DA1874" w:rsidRPr="000733C8">
        <w:rPr>
          <w:lang w:val="fi-FI"/>
        </w:rPr>
        <w:fldChar w:fldCharType="end"/>
      </w:r>
      <w:r w:rsidRPr="000733C8">
        <w:rPr>
          <w:lang w:val="fi-FI"/>
        </w:rPr>
        <w:t>, pendiri tarekat Shadhiliyyah dari wilayah Maghreb di Afrika Utara; dan Syekh Ahmad al-Rifa’i (wafat 1320), yang mendirikan tarekat Rifa’iyyah</w:t>
      </w:r>
      <w:r w:rsidR="001C78AA" w:rsidRPr="000733C8">
        <w:rPr>
          <w:rStyle w:val="FootnoteReference"/>
          <w:lang w:val="it-IT"/>
        </w:rPr>
        <w:fldChar w:fldCharType="begin" w:fldLock="1"/>
      </w:r>
      <w:r w:rsidR="005C727E" w:rsidRPr="000733C8">
        <w:rPr>
          <w:lang w:val="fi-FI"/>
        </w:rPr>
        <w:instrText>ADDIN CSL_CITATION {"citationItems":[{"id":"ITEM-1","itemData":{"DOI":"10.22515/isnad.v2i1.3579","ISSN":"2798-186X","abstract":"Social change is a necessity. Every shift that occurs in society will trigger change. Religion is basically independent, which theoretically can be involved in terms of mutual influence with socio-economic realities. As an independent unit, for its adherents, religion has a high probability of determining patterns of human behavior and the form of social structures. In this way, religious teachings have the possibility to encourage or even restrain the process of social change. The existence of Sufism and tarekat in social life has an important role in social processes, one of which is social change. Through a qualitative descriptive approach with a research library that refers to related sources, this paper provides important point that tarekat has a dual function, namely as a religious-spiritual moral movement that directs its followers to always be close to God, and as a social and political social movement that helps guide its followers to have social sensitivity and care about social conditions, through the practice of teachings or doctrines that have been taught by tarekat organization.","author":[{"dropping-particle":"","family":"Khamim","given":"M.","non-dropping-particle":"","parse-names":false,"suffix":""}],"container-title":"Al-Isnad: Journal of Islamic Civilization History and Humanities","id":"ITEM-1","issue":"1","issued":{"date-parts":[["2022"]]},"page":"65-82","publisher":"IAIN Surakarta","title":"Sufisme dan Perubahan Sosial: Kaum Tarekat dan Dinamika Sosial Keagamaan","type":"article-journal","volume":"2"},"uris":["http://www.mendeley.com/documents/?uuid=4889ded9-70d0-4783-9c1f-ef6e83656ac6"]}],"mendeley":{"formattedCitation":"(Khamim, 2022)","plainTextFormattedCitation":"(Khamim, 2022)","previouslyFormattedCitation":"(Khamim, 2022)"},"properties":{"noteIndex":0},"schema":"https://github.com/citation-style-language/schema/raw/master/csl-citation.json"}</w:instrText>
      </w:r>
      <w:r w:rsidR="001C78AA" w:rsidRPr="000733C8">
        <w:rPr>
          <w:rStyle w:val="FootnoteReference"/>
          <w:lang w:val="it-IT"/>
        </w:rPr>
        <w:fldChar w:fldCharType="separate"/>
      </w:r>
      <w:r w:rsidR="005C727E" w:rsidRPr="000733C8">
        <w:rPr>
          <w:noProof/>
          <w:lang w:val="fi-FI"/>
        </w:rPr>
        <w:t>(Khamim, 2022)</w:t>
      </w:r>
      <w:r w:rsidR="001C78AA" w:rsidRPr="000733C8">
        <w:rPr>
          <w:rStyle w:val="FootnoteReference"/>
          <w:lang w:val="it-IT"/>
        </w:rPr>
        <w:fldChar w:fldCharType="end"/>
      </w:r>
      <w:r w:rsidRPr="000733C8">
        <w:rPr>
          <w:lang w:val="fi-FI"/>
        </w:rPr>
        <w:t xml:space="preserve">. </w:t>
      </w:r>
    </w:p>
    <w:p w14:paraId="13BC8D5C" w14:textId="023F6326" w:rsidR="00DF62E2" w:rsidRPr="000733C8" w:rsidRDefault="00DF62E2" w:rsidP="0098594E">
      <w:pPr>
        <w:spacing w:line="276" w:lineRule="auto"/>
        <w:ind w:firstLine="567"/>
        <w:jc w:val="both"/>
        <w:rPr>
          <w:lang w:val="it-IT"/>
        </w:rPr>
      </w:pPr>
      <w:r w:rsidRPr="000733C8">
        <w:rPr>
          <w:lang w:val="fi-FI"/>
        </w:rPr>
        <w:t>Selain itu, awal abad ke-14 juga menandai masa perkembangan bagi Tarekat Naqshbandiyyah, yang didirikan oleh Syeikh Muhammad Bahauddin al-Naqshbandi (wafat 1389), dan Tarekat Shathariyyah, yang didirikan oleh Syeikh Abdullah al-Shaththari (wafat 1428 M)</w:t>
      </w:r>
      <w:r w:rsidR="00DA1874" w:rsidRPr="000733C8">
        <w:rPr>
          <w:lang w:val="fi-FI"/>
        </w:rPr>
        <w:fldChar w:fldCharType="begin" w:fldLock="1"/>
      </w:r>
      <w:r w:rsidR="00DA1874" w:rsidRPr="000733C8">
        <w:rPr>
          <w:lang w:val="fi-FI"/>
        </w:rPr>
        <w:instrText>ADDIN CSL_CITATION {"citationItems":[{"id":"ITEM-1","itemData":{"DOI":"10.30829/juspi.v6i1.12104","ISSN":"2580-8311","abstract":"&lt;p&gt;&lt;em&gt;This research is a biography of Kiai Ahmad Siradj bin Umar Panularan from 1878-1961. The problem discussed in this study is about the struggle for proselytizing and the treasures of the relics of K&lt;/em&gt;&lt;em&gt;iai&lt;/em&gt;&lt;em&gt; Ahmad Siradj especially in da’wah. Thie research is qualitative research with a historical approach by collecting past research through books, articles, and online news and amplified by interviews. This research resulted in a conclusion. First, Kiai Ahmad Siradj was a figure who promoted Islamic proselytizing in the 20&lt;sup&gt;th&lt;/sup&gt; century in Surakarta and became a disciple of Kiai Imam Bahri Mangunsari Nganjuk, Kiai Dimyathi Tremas, and Kiai Sholeh Darat. Second, Kiai Ahmad Siradj also joined the Barisan Kiai group, which fought alongside the H&lt;/em&gt;&lt;em&gt;i&lt;/em&gt;&lt;em&gt;zb&lt;/em&gt;&lt;em&gt;u&lt;/em&gt;&lt;em&gt;llah &lt;/em&gt;&lt;em&gt;troops&lt;/em&gt;&lt;em&gt; in defending independence, especially in the Solo region. Kiai Ahmad Siradj's struggle in pioneering the Nahdlatul Ulama organization in Surakarta is evidenced by his arrival with Kiai Mawardi at the first NU Muktamar in Surabaya in 1926. Even his descendants became administrators of NU&lt;/em&gt;&lt;em&gt; &lt;/em&gt;&lt;em&gt;Surakarta, including Kiai Yahya Cholil Tsaquf and Gus Yaqut Cholil Qoumas, Chairman of PBNU and Minister of Religious Affairs, are his descendants. Third, Kiai Ahmad Siradj is known as a saint who has a da’wah bil hikmah (wisdom) is a follower of the Qadiriyyah wa Naqsyabandiyyah who left the pesantren, wirid/dhikr, and the writings of the pesantren book, such as safīnat al-najā, fathu al-qorīb, durratu al-bahiyyah, sullamu al-taufīq which is still stored in the pesantren.&lt;/em&gt;&lt;/p&gt;","author":[{"dropping-particle":"","family":"Mahbub","given":"Moh.","non-dropping-particle":"","parse-names":false,"suffix":""},{"dropping-particle":"","family":"Fuadi","given":"Moh Ashif","non-dropping-particle":"","parse-names":false,"suffix":""},{"dropping-particle":"","family":"Nasrudin","given":"Muhammad","non-dropping-particle":"","parse-names":false,"suffix":""}],"container-title":"JUSPI (Jurnal Sejarah Peradaban Islam)","id":"ITEM-1","issue":"1","issued":{"date-parts":[["2022"]]},"page":"41","publisher":"State Islamic University of North Sumatra","title":"Traces of Struggle and the Role of Kiai Ahmad Siradj bin Umar Panularan Surakarta, 1878-1961","type":"article-journal","volume":"6"},"uris":["http://www.mendeley.com/documents/?uuid=192530ec-c333-48ec-b634-eb34ae0f7803"]}],"mendeley":{"formattedCitation":"(Mahbub et al., 2022)","plainTextFormattedCitation":"(Mahbub et al., 2022)","previouslyFormattedCitation":"(Mahbub et al., 2022)"},"properties":{"noteIndex":0},"schema":"https://github.com/citation-style-language/schema/raw/master/csl-citation.json"}</w:instrText>
      </w:r>
      <w:r w:rsidR="00DA1874" w:rsidRPr="000733C8">
        <w:rPr>
          <w:lang w:val="fi-FI"/>
        </w:rPr>
        <w:fldChar w:fldCharType="separate"/>
      </w:r>
      <w:r w:rsidR="00DA1874" w:rsidRPr="000733C8">
        <w:rPr>
          <w:noProof/>
          <w:lang w:val="fi-FI"/>
        </w:rPr>
        <w:t>(Mahbub et al., 2022)</w:t>
      </w:r>
      <w:r w:rsidR="00DA1874" w:rsidRPr="000733C8">
        <w:rPr>
          <w:lang w:val="fi-FI"/>
        </w:rPr>
        <w:fldChar w:fldCharType="end"/>
      </w:r>
      <w:r w:rsidRPr="000733C8">
        <w:rPr>
          <w:lang w:val="fi-FI"/>
        </w:rPr>
        <w:t>. Kedua tarekat terakhir ini kemudian menjadi tarekat sufi utama dengan pengikut yang besar di Indonesia</w:t>
      </w:r>
      <w:r w:rsidR="00DA1874" w:rsidRPr="000733C8">
        <w:rPr>
          <w:lang w:val="fi-FI"/>
        </w:rPr>
        <w:fldChar w:fldCharType="begin" w:fldLock="1"/>
      </w:r>
      <w:r w:rsidR="000733C8" w:rsidRPr="000733C8">
        <w:rPr>
          <w:lang w:val="fi-FI"/>
        </w:rPr>
        <w:instrText>ADDIN CSL_CITATION {"citationItems":[{"id":"ITEM-1","itemData":{"DOI":"10.18502/kss.v9i12.15859","ISSN":"2518-668X","abstract":"This study examines the Sufi teachings of Sheikh Imam Manaqib, with a focus on his role in spreading the Naqshbandiyya Khalidiyya Sufi order in Adiluwih and its surrounding areas. Sheikh Imam Manaqib, originally from East Java, migrated to Lampung in the 1950s and chose Adiluwih as his place of residence. This study employs a historical research approach with a social perspective. The author utilizes the Great Man Theory as an analytical tool. The results revealed that Sheikh Imam Manaqib played a significant role in his Sufi mission by dedicating himself to disseminating knowledge and seeking spiritual enlightenment. Sheikh Imam Manaqib developed a profound understanding of Sufism through formal and informal education in East Java, especially at the Islamic boarding school Mambaul Hikam. His teachings encompassed various subjects, ranging from the fundamentals of Sufism to the practical implementation of the doctrines of the Naqshbandiyya Khalidiyya order. Additionally, unique practices such as “Turu Mayit” were taught to seekers as part of their spiritual development. Sheikh Imam Manaqib’s efforts in teaching the Naqshbandiyya Khalidiyya order resulted in the rapid formation of a thriving community, officially recognized by the Central Lampung Regent in 1988. His legacy continues to have an impact to this day, influencing spiritual seekers from various age groups and backgrounds. This research provides insights into Sheikh Imam Manaqib’s distinctive approach to teaching the Sufi order and underscores the enduring influence of his teachings on the Lampung community.\r Keywords: Sufi Order, Sufism, Naqshbandiyyah Khalidiyah, Sheikh Imam Manaqib, Sufi Preaching","author":[{"dropping-particle":"","family":"Ismarzuqoh","given":"‎","non-dropping-particle":"","parse-names":false,"suffix":""},{"dropping-particle":"","family":"Mahfudin Setiawan","given":"Agus","non-dropping-particle":"","parse-names":false,"suffix":""},{"dropping-particle":"","family":"Budianto","given":"Aan","non-dropping-particle":"","parse-names":false,"suffix":""}],"container-title":"KnE Social Sciences","id":"ITEM-1","issued":{"date-parts":[["2024"]]},"publisher":"Knowledge E","title":"The Naqsabandiyah Khalidiyah Order: Syaikh Imam Manaqib's Role in Sufi Preaching in Adiluwih, Pringsewu 1960-1988","type":"article-journal"},"uris":["http://www.mendeley.com/documents/?uuid=a6e3f832-6cae-4d27-92af-38d51bceb753"]}],"mendeley":{"formattedCitation":"(Ismarzuqoh et al., 2024)","plainTextFormattedCitation":"(Ismarzuqoh et al., 2024)","previouslyFormattedCitation":"(Ismarzuqoh et al., 2024)"},"properties":{"noteIndex":0},"schema":"https://github.com/citation-style-language/schema/raw/master/csl-citation.json"}</w:instrText>
      </w:r>
      <w:r w:rsidR="00DA1874" w:rsidRPr="000733C8">
        <w:rPr>
          <w:lang w:val="fi-FI"/>
        </w:rPr>
        <w:fldChar w:fldCharType="separate"/>
      </w:r>
      <w:r w:rsidR="00DA1874" w:rsidRPr="000733C8">
        <w:rPr>
          <w:noProof/>
          <w:lang w:val="fi-FI"/>
        </w:rPr>
        <w:t>(Ismarzuqoh et al., 2024)</w:t>
      </w:r>
      <w:r w:rsidR="00DA1874" w:rsidRPr="000733C8">
        <w:rPr>
          <w:lang w:val="fi-FI"/>
        </w:rPr>
        <w:fldChar w:fldCharType="end"/>
      </w:r>
      <w:r w:rsidRPr="000733C8">
        <w:rPr>
          <w:lang w:val="en-ID"/>
        </w:rPr>
        <w:t xml:space="preserve">. </w:t>
      </w:r>
      <w:r w:rsidRPr="000733C8">
        <w:rPr>
          <w:lang w:val="it-IT"/>
        </w:rPr>
        <w:t>Ajaran para sufi pada masa itu secara signifikan memengaruhi masyarakat Asia Tenggara yang pertama kali memeluk Islam. Pengaruh sufi ini membuat Islam menarik bagi masyarakat Asia Tenggara, dan perkembangan tasawuf pun menjadi salah satu faktor yang memungkinkan terjadinya Islamisasi di Asia Tenggara</w:t>
      </w:r>
      <w:r w:rsidR="000733C8" w:rsidRPr="000733C8">
        <w:rPr>
          <w:lang w:val="it-IT"/>
        </w:rPr>
        <w:fldChar w:fldCharType="begin" w:fldLock="1"/>
      </w:r>
      <w:r w:rsidR="000733C8" w:rsidRPr="000733C8">
        <w:rPr>
          <w:lang w:val="it-IT"/>
        </w:rPr>
        <w:instrText>ADDIN CSL_CITATION {"citationItems":[{"id":"ITEM-1","itemData":{"DOI":"10.47709/educendikia.v4i03.5218","ISSN":"2798-365X","abstract":"This study uses a library research method, which includes analysis of scientific literature, books, and historical documents. Information is collected from relevant and credible works, including historical relics in the region. This study aims to describe the historical spread of Islam in Southeast Asia, explain the factors that influenced Islamization, and identify its impact on local communities' social, cultural, and political life. The study results show that Islam entered Southeast Asia through the role of Muslim traders from Arabia, Persia, and India who sailed through maritime trade routes. Sufis played an essential role in introducing Islam with a humanistic, moderate, and adaptive da'wah approach, which was adapted to local culture. Traces of Islamization can be seen in relics such as ancient tombs, classical Islamic books, and the tradition of Islamic boarding school education in Indonesia. Islam also developed rapidly in large kingdoms such as Samudra Pasai, Aceh Darussalam, Demak, and Mataram. Islamization in Southeast Asia lasted centuries, significantly transforming various aspects of people's lives. The region's social, cultural, and political systems are influenced by Islamic values, which introduced the principles of equality and justice amidst the previously dominant Hindu-Buddhist caste system. Educational legacies such as Islamic boarding schools have contributed significantly to spreading Islamic teachings and developing a generation of Muslim intellectuals who remain relevant today. Islam in Southeast Asia is also characterized by religious moderation, allowing Islamic teachings to coexist with local traditions and other religions. The region is now home to the largest Muslim populations in the world, with Indonesia, Malaysia, and Brunei Darussalam as examples of countries that have successfully integrated Islamic teachings into modern life.","author":[{"dropping-particle":"","family":"Mawarni","given":"Ummu Khairiyah","non-dropping-particle":"","parse-names":false,"suffix":""},{"dropping-particle":"","family":"Arifi","given":"Ahmad","non-dropping-particle":"","parse-names":false,"suffix":""},{"dropping-particle":"","family":"Fatkhan","given":"Muhammad","non-dropping-particle":"","parse-names":false,"suffix":""}],"container-title":"Edu Cendikia: Jurnal Ilmiah Kependidikan","id":"ITEM-1","issue":"03","issued":{"date-parts":[["2025"]]},"page":"1359-1364","title":"Penyebaran Peradaban Islam di Asia Tenggara","type":"article-journal","volume":"4"},"uris":["http://www.mendeley.com/documents/?uuid=df0e4e5b-5188-4f1f-8137-277b420d8947"]}],"mendeley":{"formattedCitation":"(Mawarni et al., 2025)","plainTextFormattedCitation":"(Mawarni et al., 2025)","previouslyFormattedCitation":"(Mawarni et al., 2025)"},"properties":{"noteIndex":0},"schema":"https://github.com/citation-style-language/schema/raw/master/csl-citation.json"}</w:instrText>
      </w:r>
      <w:r w:rsidR="000733C8" w:rsidRPr="000733C8">
        <w:rPr>
          <w:lang w:val="it-IT"/>
        </w:rPr>
        <w:fldChar w:fldCharType="separate"/>
      </w:r>
      <w:r w:rsidR="000733C8" w:rsidRPr="000733C8">
        <w:rPr>
          <w:noProof/>
          <w:lang w:val="it-IT"/>
        </w:rPr>
        <w:t>(Mawarni et al., 2025)</w:t>
      </w:r>
      <w:r w:rsidR="000733C8" w:rsidRPr="000733C8">
        <w:rPr>
          <w:lang w:val="it-IT"/>
        </w:rPr>
        <w:fldChar w:fldCharType="end"/>
      </w:r>
      <w:r w:rsidRPr="000733C8">
        <w:rPr>
          <w:lang w:val="it-IT"/>
        </w:rPr>
        <w:t>. Tradisi-tradisi sufi dari Asia Tenggara dibawa ke kepulauan Indonesia pada abad ke-15 oleh Sayyid Ali Rahmatullah (Sunan Ampel) dari Kerajaan Champa (Vietnam)</w:t>
      </w:r>
      <w:r w:rsidR="000733C8" w:rsidRPr="000733C8">
        <w:rPr>
          <w:lang w:val="it-IT"/>
        </w:rPr>
        <w:t>(</w:t>
      </w:r>
      <w:r w:rsidR="001C78AA" w:rsidRPr="000733C8">
        <w:rPr>
          <w:rStyle w:val="FootnoteReference"/>
          <w:lang w:val="it-IT"/>
        </w:rPr>
        <w:fldChar w:fldCharType="begin" w:fldLock="1"/>
      </w:r>
      <w:r w:rsidR="005C727E" w:rsidRPr="000733C8">
        <w:rPr>
          <w:lang w:val="it-IT"/>
        </w:rPr>
        <w:instrText>ADDIN CSL_CITATION {"citationItems":[{"id":"ITEM-1","itemData":{"DOI":"10.47709/educendikia.v4i03.5218","ISSN":"2798-365X","abstract":"This study uses a library research method, which includes analysis of scientific literature, books, and historical documents. Information is collected from relevant and credible works, including historical relics in the region. This study aims to describe the historical spread of Islam in Southeast Asia, explain the factors that influenced Islamization, and identify its impact on local communities' social, cultural, and political life. The study results show that Islam entered Southeast Asia through the role of Muslim traders from Arabia, Persia, and India who sailed through maritime trade routes. Sufis played an essential role in introducing Islam with a humanistic, moderate, and adaptive da'wah approach, which was adapted to local culture. Traces of Islamization can be seen in relics such as ancient tombs, classical Islamic books, and the tradition of Islamic boarding school education in Indonesia. Islam also developed rapidly in large kingdoms such as Samudra Pasai, Aceh Darussalam, Demak, and Mataram. Islamization in Southeast Asia lasted centuries, significantly transforming various aspects of people's lives. The region's social, cultural, and political systems are influenced by Islamic values, which introduced the principles of equality and justice amidst the previously dominant Hindu-Buddhist caste system. Educational legacies such as Islamic boarding schools have contributed significantly to spreading Islamic teachings and developing a generation of Muslim intellectuals who remain relevant today. Islam in Southeast Asia is also characterized by religious moderation, allowing Islamic teachings to coexist with local traditions and other religions. The region is now home to the largest Muslim populations in the world, with Indonesia, Malaysia, and Brunei Darussalam as examples of countries that have successfully integrated Islamic teachings into modern life.","author":[{"dropping-particle":"","family":"Mawarni","given":"Ummu Khairiyah","non-dropping-particle":"","parse-names":false,"suffix":""},{"dropping-particle":"","family":"Arifi","given":"Ahmad","non-dropping-particle":"","parse-names":false,"suffix":""},{"dropping-particle":"","family":"Fatkhan","given":"Muhammad","non-dropping-particle":"","parse-names":false,"suffix":""}],"container-title":"Edu Cendikia: Jurnal Ilmiah Kependidikan","id":"ITEM-1","issue":"03","issued":{"date-parts":[["2025"]]},"page":"1359-1364","title":"Penyebaran Peradaban Islam di Asia Tenggara","type":"article-journal","volume":"4"},"uris":["http://www.mendeley.com/documents/?uuid=df0e4e5b-5188-4f1f-8137-277b420d8947"]}],"mendeley":{"formattedCitation":"(Mawarni et al., 2025)","manualFormatting":"Mawarni, Arifi, And Fatkhan.","plainTextFormattedCitation":"(Mawarni et al., 2025)","previouslyFormattedCitation":"(Mawarni et al., 2025)"},"properties":{"noteIndex":0},"schema":"https://github.com/citation-style-language/schema/raw/master/csl-citation.json"}</w:instrText>
      </w:r>
      <w:r w:rsidR="001C78AA" w:rsidRPr="000733C8">
        <w:rPr>
          <w:rStyle w:val="FootnoteReference"/>
          <w:lang w:val="it-IT"/>
        </w:rPr>
        <w:fldChar w:fldCharType="separate"/>
      </w:r>
      <w:r w:rsidR="001C78AA" w:rsidRPr="000733C8">
        <w:rPr>
          <w:noProof/>
          <w:lang w:val="it-IT"/>
        </w:rPr>
        <w:t>Mawarni, Arifi, And Fatkhan.</w:t>
      </w:r>
      <w:r w:rsidR="001C78AA" w:rsidRPr="000733C8">
        <w:rPr>
          <w:rStyle w:val="FootnoteReference"/>
          <w:lang w:val="it-IT"/>
        </w:rPr>
        <w:fldChar w:fldCharType="end"/>
      </w:r>
      <w:r w:rsidR="000733C8" w:rsidRPr="000733C8">
        <w:rPr>
          <w:lang w:val="it-IT"/>
        </w:rPr>
        <w:t>)</w:t>
      </w:r>
      <w:r w:rsidRPr="000733C8">
        <w:rPr>
          <w:lang w:val="it-IT"/>
        </w:rPr>
        <w:t>.</w:t>
      </w:r>
    </w:p>
    <w:p w14:paraId="47B91178" w14:textId="7EAF979D" w:rsidR="00DF62E2" w:rsidRPr="000733C8" w:rsidRDefault="00DF62E2" w:rsidP="0098594E">
      <w:pPr>
        <w:spacing w:line="276" w:lineRule="auto"/>
        <w:ind w:firstLine="567"/>
        <w:jc w:val="both"/>
        <w:rPr>
          <w:lang w:val="en-ID"/>
        </w:rPr>
      </w:pPr>
      <w:r w:rsidRPr="000733C8">
        <w:rPr>
          <w:lang w:val="it-IT"/>
        </w:rPr>
        <w:t>Tradisi-tradisi sufi ini, yang menekankan dzauq (rasa spiritual), memainkan peran yang sangat mendalam dalam penyebaran Islam di seluruh kepulauan Indonesia, terutama di Indonesia. Hingga saat ini, umat Islam di Indonesia tetap terikat erat dengan sikap-sikap sufi. Penghormatan mereka terhadap tokoh-tokoh mulia seperti para sufi dan ulama yang memiliki keutamaan khusus atau karamah tetap bertahan, baik tokoh-tokoh tersebut telah wafat maupun masih hidup. Pada abad ke-18, berbagai tarekat sufi telah memperoleh pengikut yang tersebar di seluruh kepulauan Indonesia. Para ulama Indonesia yang baru saja kembali dari Hijaz (Mekah dan Madinah) menyebarkan tarekat Shattariyah, yang sering digabungkan dengan tarekat Naqshbandi atau Khalwati</w:t>
      </w:r>
      <w:r w:rsidR="000733C8" w:rsidRPr="000733C8">
        <w:rPr>
          <w:lang w:val="it-IT"/>
        </w:rPr>
        <w:fldChar w:fldCharType="begin" w:fldLock="1"/>
      </w:r>
      <w:r w:rsidR="000733C8" w:rsidRPr="000733C8">
        <w:rPr>
          <w:lang w:val="it-IT"/>
        </w:rPr>
        <w:instrText>ADDIN CSL_CITATION {"citationItems":[{"id":"ITEM-1","itemData":{"DOI":"10.18280/ijsdp.180633","ISSN":"1743761X","abstract":"The tariqa of Hizib Nahdlatul Wathan (NW) has played a role in social and cultural change in a community. This study explains the role of the Hizib NW tariqa in the construction of social and cultural change during the New Order era in Lombok, Indonesia. This study uses the historical method with four stages: heuristics, source criticism, interpretation, and historiography. The Hizib NW tariqa in Lombok has been a social and cultural identity for its followers throughout New Order history. Hamzanwadi, the founder of the Hizib NW tariqa, uses three paths to build the identity of his followers in social change in Lombok: education, politics, and the ceremonial rituals of the Hizib NW tariqa. The long history of the NW organization and the NW Hizib tariqa during the New Order era gave the people of Lombok a new awareness to build an ideal identity adapted to social and cultural changes. The tariqa of Hizib NW has become a spirit, a source of information, motivation, and an instrument of integration among the people of Lombok. This study can be a reference in understanding the congregation in Lombok and its role in the socio-cultural life of the Lombok people, which helps create a harmonious society.","author":[{"dropping-particle":"","family":"Rasyad","given":"Abdul","non-dropping-particle":"","parse-names":false,"suffix":""},{"dropping-particle":"","family":"Dienaputra","given":"Reiza D.","non-dropping-particle":"","parse-names":false,"suffix":""},{"dropping-particle":"","family":"Zakaria","given":"Mumuh Muhsin","non-dropping-particle":"","parse-names":false,"suffix":""},{"dropping-particle":"","family":"Mulyadi","given":"Raden Muhammad","non-dropping-particle":"","parse-names":false,"suffix":""}],"container-title":"International Journal of Sustainable Development and Planning","id":"ITEM-1","issue":"6","issued":{"date-parts":[["2023"]]},"page":"1963-1972","publisher":"International Information and Engineering Technology Association","title":"Tariqa of Hizib Nahdlatul Wathan: Construction of Social Change During the New Order Period in Lombok, Indonesia","type":"article-journal","volume":"18"},"uris":["http://www.mendeley.com/documents/?uuid=b6414a35-54f0-444b-b90d-4f91534f66fc"]}],"mendeley":{"formattedCitation":"(Rasyad et al., 2023)","plainTextFormattedCitation":"(Rasyad et al., 2023)","previouslyFormattedCitation":"(Rasyad et al., 2023)"},"properties":{"noteIndex":0},"schema":"https://github.com/citation-style-language/schema/raw/master/csl-citation.json"}</w:instrText>
      </w:r>
      <w:r w:rsidR="000733C8" w:rsidRPr="000733C8">
        <w:rPr>
          <w:lang w:val="it-IT"/>
        </w:rPr>
        <w:fldChar w:fldCharType="separate"/>
      </w:r>
      <w:r w:rsidR="000733C8" w:rsidRPr="000733C8">
        <w:rPr>
          <w:noProof/>
          <w:lang w:val="it-IT"/>
        </w:rPr>
        <w:t>(Rasyad et al., 2023)</w:t>
      </w:r>
      <w:r w:rsidR="000733C8" w:rsidRPr="000733C8">
        <w:rPr>
          <w:lang w:val="it-IT"/>
        </w:rPr>
        <w:fldChar w:fldCharType="end"/>
      </w:r>
      <w:r w:rsidRPr="000733C8">
        <w:rPr>
          <w:lang w:val="it-IT"/>
        </w:rPr>
        <w:t xml:space="preserve">. </w:t>
      </w:r>
      <w:r w:rsidRPr="000733C8">
        <w:rPr>
          <w:lang w:val="en-ID"/>
        </w:rPr>
        <w:t>Gerakan-gerakan sufi ini tidak hanya berkontribusi pada perkembangan ajaran Islam, tetapi juga berperan dalam perlawanan terhadap penjajahan Belanda di beberapa wilayah.</w:t>
      </w:r>
    </w:p>
    <w:p w14:paraId="7AF8145F" w14:textId="6171F16B" w:rsidR="00DF62E2" w:rsidRPr="000733C8" w:rsidRDefault="00DF62E2" w:rsidP="0098594E">
      <w:pPr>
        <w:pStyle w:val="ListParagraph"/>
        <w:numPr>
          <w:ilvl w:val="2"/>
          <w:numId w:val="8"/>
        </w:numPr>
        <w:spacing w:after="0"/>
        <w:ind w:left="426" w:hanging="493"/>
        <w:contextualSpacing w:val="0"/>
        <w:jc w:val="both"/>
        <w:rPr>
          <w:rFonts w:ascii="Times New Roman" w:hAnsi="Times New Roman"/>
          <w:i/>
          <w:iCs/>
          <w:sz w:val="24"/>
          <w:szCs w:val="24"/>
          <w:lang w:val="it-IT"/>
        </w:rPr>
      </w:pPr>
      <w:r w:rsidRPr="000733C8">
        <w:rPr>
          <w:rFonts w:ascii="Times New Roman" w:hAnsi="Times New Roman"/>
          <w:i/>
          <w:iCs/>
          <w:sz w:val="24"/>
          <w:szCs w:val="24"/>
          <w:lang w:val="it-IT"/>
        </w:rPr>
        <w:t>Sufisme di Era Digital</w:t>
      </w:r>
    </w:p>
    <w:p w14:paraId="1A328C68" w14:textId="305B6B05" w:rsidR="00DF62E2" w:rsidRPr="000733C8" w:rsidRDefault="00DF62E2" w:rsidP="0098594E">
      <w:pPr>
        <w:spacing w:line="276" w:lineRule="auto"/>
        <w:ind w:firstLine="567"/>
        <w:jc w:val="both"/>
        <w:rPr>
          <w:lang w:val="it-IT"/>
        </w:rPr>
      </w:pPr>
      <w:r w:rsidRPr="000733C8">
        <w:rPr>
          <w:lang w:val="it-IT"/>
        </w:rPr>
        <w:t>Teknologi digital, yang mencakup internet dan media sosial, telah membuka jalur-jalur baru bagi penyebaran dan pertukaran ajaran-ajaran Sufi</w:t>
      </w:r>
      <w:r w:rsidR="000733C8" w:rsidRPr="000733C8">
        <w:rPr>
          <w:lang w:val="it-IT"/>
        </w:rPr>
        <w:fldChar w:fldCharType="begin" w:fldLock="1"/>
      </w:r>
      <w:r w:rsidR="000733C8" w:rsidRPr="000733C8">
        <w:rPr>
          <w:lang w:val="it-IT"/>
        </w:rPr>
        <w:instrText>ADDIN CSL_CITATION {"citationItems":[{"id":"ITEM-1","itemData":{"DOI":"10.35931/aq.v16i6.1541","ISSN":"1907-4174","abstract":"Perkembangan zaman terus terjadi dan mengalami berbagai macam perubahan sehingga menuntut agar manusia mampu beradaptasi. Dalam situasi ini, pendidikan merupakan menjadi garda untuk menjawab dan memberikan solusi terhadap tantangan dan problem yang sedang dihadapi, salah satunya pondok pesantren. Pondok pesantren di kenal sebagai lembaga pendidikan tertua di Indonesia yang dipimpin oleh seorang Kyai. Manajemen pondok pesantren di perlu ditingkatkan agar eksistensinya tidak tergerus oleh berbagai macam perubahan. Oleh sebab itu di era digitalisasi ini, pondok pesantren perlu menunjukkan eksistensi sehingga pondok pesantren diharapkan memberikan solusi. Berangkat dari problema tersebut, tulisan ini ingin mengkaji secara teoritis terhadap Eksistensi Manajemen Pesantren di Era Digital melalui modernisasi komponen-komponen penting di pondok pesantren tersebut, dengan tetap menjaga sakralitas dan budaya yang terdapat dalam pondok pesantren. Selain itu juga, pembaharuan dan peningkatan terdadap sumber daya perlu ditingkat sebagai upaya regenerasi untuk meneruskan kepemimpinan yang tidak hanya eksistensinya bergantung pada kharismatik kyai, tetapi juga eksistensinya memiliki manajemen dan program yang baik","author":[{"dropping-particle":"","family":"Arief","given":"Mohammad","non-dropping-particle":"","parse-names":false,"suffix":""},{"dropping-particle":"","family":"Assya'bani","given":"Ridhatullah","non-dropping-particle":"","parse-names":false,"suffix":""}],"container-title":"Al Qalam: Jurnal Ilmiah Keagamaan dan Kemasyarakatan","id":"ITEM-1","issue":"6","issued":{"date-parts":[["2023"]]},"page":"2548","title":"Eksistensi Manajemen Pesantren di Era Digital","type":"article-journal","volume":"16"},"uris":["http://www.mendeley.com/documents/?uuid=d739b32b-2b21-4e50-bbcc-4a4c3dba1848"]}],"mendeley":{"formattedCitation":"(Arief &amp; Assya’bani, 2023)","plainTextFormattedCitation":"(Arief &amp; Assya’bani, 2023)","previouslyFormattedCitation":"(Arief &amp; Assya’bani, 2023)"},"properties":{"noteIndex":0},"schema":"https://github.com/citation-style-language/schema/raw/master/csl-citation.json"}</w:instrText>
      </w:r>
      <w:r w:rsidR="000733C8" w:rsidRPr="000733C8">
        <w:rPr>
          <w:lang w:val="it-IT"/>
        </w:rPr>
        <w:fldChar w:fldCharType="separate"/>
      </w:r>
      <w:r w:rsidR="000733C8" w:rsidRPr="000733C8">
        <w:rPr>
          <w:noProof/>
          <w:lang w:val="it-IT"/>
        </w:rPr>
        <w:t>(Arief &amp; Assya’bani, 2023)</w:t>
      </w:r>
      <w:r w:rsidR="000733C8" w:rsidRPr="000733C8">
        <w:rPr>
          <w:lang w:val="it-IT"/>
        </w:rPr>
        <w:fldChar w:fldCharType="end"/>
      </w:r>
      <w:r w:rsidRPr="000733C8">
        <w:rPr>
          <w:lang w:val="it-IT"/>
        </w:rPr>
        <w:t xml:space="preserve">. Munculnya platform daring, termasuk situs web, blog, dan saluran media sosial, telah secara mendalam mengubah kemampuan para pemimpin Sufi dalam menyebarluaskan ajaran dan praktik mereka dalam skala global, sehingga dapat mengatasi kendala yang ditimbulkan oleh batasan geografis. Selain itu, hal ini memfasilitasi hubungan di antara para pengikut Sufi di seluruh dunia, sehingga memungkinkan pertukaran pengalaman dan perolehan bimbingan spiritual melalui </w:t>
      </w:r>
      <w:r w:rsidRPr="000733C8">
        <w:rPr>
          <w:lang w:val="it-IT"/>
        </w:rPr>
        <w:lastRenderedPageBreak/>
        <w:t>forum daring dan kelompok diskusi</w:t>
      </w:r>
      <w:r w:rsidR="001C78AA" w:rsidRPr="000733C8">
        <w:rPr>
          <w:rStyle w:val="FootnoteReference"/>
          <w:lang w:val="it-IT"/>
        </w:rPr>
        <w:fldChar w:fldCharType="begin" w:fldLock="1"/>
      </w:r>
      <w:r w:rsidR="005C727E" w:rsidRPr="000733C8">
        <w:rPr>
          <w:lang w:val="it-IT"/>
        </w:rPr>
        <w:instrText>ADDIN CSL_CITATION {"citationItems":[{"id":"ITEM-1","itemData":{"DOI":"10.20871/kpjipm.v10i1.247","ISSN":"2442-5451","abstract":"The rise of global terrorism presents a critical challenge to peace and stability worldwide, fueled by divisive ideologies that promote hatred and violence. There is a growing need for alternative frameworks that promote understanding, tolerance, and reconciliation. This paper explores the doctrine of Sufi philosophy as a powerful antidote to global terrorism, examining its principles and practices in fostering peace and countering extremist ideologies. A comprehensive review of literature on Sufi philosophy, Islamic mysticism, and counter-terrorism strategies was conducted to elucidate the principles and practices of Sufism in promoting peace and countering extremist narratives. The findings reveal that Sufi philosophy embodies principles of love, compassion, and spiritual enlightenment, potent antidotes to the rhetoric of hatred and violence propagated by extremist groups. Sufi teachings emphasize the interconnectedness of humanity, fostering a culture of tolerance, understanding, and mutual respect. In conclusion, the doctrine of Sufi philosophy offers a transformative framework for countering global terrorism by addressing its root causes of ignorance, fear, and alienation. Through its emphasis on love, compassion, and spiritual enlightenment, Sufism provides a compelling alternative to extremist ideologies, inspiring individuals and communities worldwide to embrace a path of peace, unity, and understanding.","author":[{"dropping-particle":"","family":"Mir","given":"Saroosh Ahmad","non-dropping-particle":"","parse-names":false,"suffix":""}],"container-title":"Kanz Philosophia: A Journal for Islamic Philosophy and Mysticism","id":"ITEM-1","issue":"1","issued":{"date-parts":[["2024"]]},"publisher":"Sekolah Tinggi Filsafat Islam Sadra","title":"the Doctrine of Sufi Philosophy As a Powerful Antidote To Global Terrorism","type":"article-journal","volume":"10"},"uris":["http://www.mendeley.com/documents/?uuid=29e9c94b-4af3-4bf2-a5c8-a5267057d306"]}],"mendeley":{"formattedCitation":"(Mir, 2024)","plainTextFormattedCitation":"(Mir, 2024)","previouslyFormattedCitation":"(Mir, 2024)"},"properties":{"noteIndex":0},"schema":"https://github.com/citation-style-language/schema/raw/master/csl-citation.json"}</w:instrText>
      </w:r>
      <w:r w:rsidR="001C78AA" w:rsidRPr="000733C8">
        <w:rPr>
          <w:rStyle w:val="FootnoteReference"/>
          <w:lang w:val="it-IT"/>
        </w:rPr>
        <w:fldChar w:fldCharType="separate"/>
      </w:r>
      <w:r w:rsidR="005C727E" w:rsidRPr="000733C8">
        <w:rPr>
          <w:noProof/>
          <w:lang w:val="it-IT"/>
        </w:rPr>
        <w:t>(Mir, 2024)</w:t>
      </w:r>
      <w:r w:rsidR="001C78AA" w:rsidRPr="000733C8">
        <w:rPr>
          <w:rStyle w:val="FootnoteReference"/>
          <w:lang w:val="it-IT"/>
        </w:rPr>
        <w:fldChar w:fldCharType="end"/>
      </w:r>
      <w:r w:rsidRPr="000733C8">
        <w:rPr>
          <w:lang w:val="it-IT"/>
        </w:rPr>
        <w:t>. Teknologi digital, khususnya internet dan media sosial, telah memberikan dampak revolusioner terhadap penyebaran dan pertukaran ajaran serta praktik Sufi dalam skala global. Berikut ini adalah beberapa poin tambahan mengenai bagaimana teknologi digital memengaruhi Sufisme:</w:t>
      </w:r>
    </w:p>
    <w:p w14:paraId="5293072F" w14:textId="2AB19C50" w:rsidR="0032609A" w:rsidRPr="000733C8" w:rsidRDefault="00DF62E2" w:rsidP="0098594E">
      <w:pPr>
        <w:pStyle w:val="ListParagraph"/>
        <w:numPr>
          <w:ilvl w:val="0"/>
          <w:numId w:val="10"/>
        </w:numPr>
        <w:spacing w:after="0"/>
        <w:contextualSpacing w:val="0"/>
        <w:jc w:val="both"/>
        <w:rPr>
          <w:rFonts w:ascii="Times New Roman" w:hAnsi="Times New Roman"/>
          <w:sz w:val="24"/>
          <w:szCs w:val="24"/>
          <w:lang w:val="it-IT"/>
        </w:rPr>
      </w:pPr>
      <w:r w:rsidRPr="000733C8">
        <w:rPr>
          <w:rFonts w:ascii="Times New Roman" w:hAnsi="Times New Roman"/>
          <w:sz w:val="24"/>
          <w:szCs w:val="24"/>
          <w:lang w:val="it-IT"/>
        </w:rPr>
        <w:t>Jangkauan Global: Melalui internet, para pemimpin dan praktisi Sufi dapat menyebarkan ajaran dan praktik mereka secara global tanpa terbatasi oleh batas-batas geografis</w:t>
      </w:r>
      <w:r w:rsidR="001C78AA" w:rsidRPr="000733C8">
        <w:rPr>
          <w:rStyle w:val="FootnoteReference"/>
          <w:rFonts w:ascii="Times New Roman" w:hAnsi="Times New Roman"/>
          <w:sz w:val="24"/>
          <w:szCs w:val="24"/>
          <w:lang w:val="it-IT"/>
        </w:rPr>
        <w:fldChar w:fldCharType="begin" w:fldLock="1"/>
      </w:r>
      <w:r w:rsidR="005C727E" w:rsidRPr="000733C8">
        <w:rPr>
          <w:rFonts w:ascii="Times New Roman" w:hAnsi="Times New Roman"/>
          <w:sz w:val="24"/>
          <w:szCs w:val="24"/>
          <w:lang w:val="it-IT"/>
        </w:rPr>
        <w:instrText>ADDIN CSL_CITATION {"citationItems":[{"id":"ITEM-1","itemData":{"DOI":"10.21274/epis.2022.17.2.197-223","ISSN":"1907-7491","abstract":"This article seeks to examine the rise of tarekat (Sufi order) in the context of the digital public sphere with a special attention to the Eshaykh website. As this article argues, the Eshaykh website represents an adaptation of conventional groups of tarekat combined with information technology. However, this digital adoption raises a new problem, especially related to the differences in terms of access between digital tarekat and conventional tarekat. This article—using a virtual ethnographic approach—focuses on the Eshaykh website by the Tarekat Naqsyabandiyah Haqqaniyah (TNH) as the primary source. The website provides all information about the tarekat, both the doctrine and the wirid, which are presented online. There is also an element of the simplification of orthodoxy which has so far been strictly guarded by conventional tarekat, but the rise of the Eshaykh website in the digital public sphere is offering tarekat practices that are easily accessible and reach all levels of society.","author":[{"dropping-particle":"","family":"Hidayat","given":"Ziaulhaq","non-dropping-particle":"","parse-names":false,"suffix":""}],"container-title":"Epistemé: Jurnal Pengembangan Ilmu Keislaman","id":"ITEM-1","issue":"2","issued":{"date-parts":[["2023"]]},"page":"197-223","publisher":"State Institute of Islamic Studies (IAIN) Tulungagung","title":"Transforming Sufism Into Digital Media","type":"article-journal","volume":"17"},"uris":["http://www.mendeley.com/documents/?uuid=4aba1efd-8022-4ddc-9ef0-2825a0a3d922"]}],"mendeley":{"formattedCitation":"(Hidayat, 2023)","plainTextFormattedCitation":"(Hidayat, 2023)","previouslyFormattedCitation":"(Hidayat, 2023)"},"properties":{"noteIndex":0},"schema":"https://github.com/citation-style-language/schema/raw/master/csl-citation.json"}</w:instrText>
      </w:r>
      <w:r w:rsidR="001C78AA" w:rsidRPr="000733C8">
        <w:rPr>
          <w:rStyle w:val="FootnoteReference"/>
          <w:rFonts w:ascii="Times New Roman" w:hAnsi="Times New Roman"/>
          <w:sz w:val="24"/>
          <w:szCs w:val="24"/>
          <w:lang w:val="it-IT"/>
        </w:rPr>
        <w:fldChar w:fldCharType="separate"/>
      </w:r>
      <w:r w:rsidR="005C727E" w:rsidRPr="000733C8">
        <w:rPr>
          <w:rFonts w:ascii="Times New Roman" w:hAnsi="Times New Roman"/>
          <w:bCs/>
          <w:noProof/>
          <w:sz w:val="24"/>
          <w:szCs w:val="24"/>
          <w:lang w:val="it-IT"/>
        </w:rPr>
        <w:t>(Hidayat, 2023)</w:t>
      </w:r>
      <w:r w:rsidR="001C78AA" w:rsidRPr="000733C8">
        <w:rPr>
          <w:rStyle w:val="FootnoteReference"/>
          <w:rFonts w:ascii="Times New Roman" w:hAnsi="Times New Roman"/>
          <w:sz w:val="24"/>
          <w:szCs w:val="24"/>
          <w:lang w:val="it-IT"/>
        </w:rPr>
        <w:fldChar w:fldCharType="end"/>
      </w:r>
      <w:r w:rsidRPr="000733C8">
        <w:rPr>
          <w:rFonts w:ascii="Times New Roman" w:hAnsi="Times New Roman"/>
          <w:sz w:val="24"/>
          <w:szCs w:val="24"/>
          <w:lang w:val="it-IT"/>
        </w:rPr>
        <w:t>. Situs web, blog, dan saluran media sosial memungkinkan mereka menjangkau khalayak yang lebih luas di berbagai belahan dunia</w:t>
      </w:r>
      <w:r w:rsidR="001C78AA" w:rsidRPr="000733C8">
        <w:rPr>
          <w:rStyle w:val="FootnoteReference"/>
          <w:rFonts w:ascii="Times New Roman" w:hAnsi="Times New Roman"/>
          <w:sz w:val="24"/>
          <w:szCs w:val="24"/>
          <w:lang w:val="it-IT"/>
        </w:rPr>
        <w:fldChar w:fldCharType="begin" w:fldLock="1"/>
      </w:r>
      <w:r w:rsidR="005C727E" w:rsidRPr="000733C8">
        <w:rPr>
          <w:rFonts w:ascii="Times New Roman" w:hAnsi="Times New Roman"/>
          <w:sz w:val="24"/>
          <w:szCs w:val="24"/>
          <w:lang w:val="it-IT"/>
        </w:rPr>
        <w:instrText>ADDIN CSL_CITATION {"citationItems":[{"id":"ITEM-1","itemData":{"DOI":"10.21274/epis.2022.17.2.197-223","ISSN":"1907-7491","abstract":"This article seeks to examine the rise of tarekat (Sufi order) in the context of the digital public sphere with a special attention to the Eshaykh website. As this article argues, the Eshaykh website represents an adaptation of conventional groups of tarekat combined with information technology. However, this digital adoption raises a new problem, especially related to the differences in terms of access between digital tarekat and conventional tarekat. This article—using a virtual ethnographic approach—focuses on the Eshaykh website by the Tarekat Naqsyabandiyah Haqqaniyah (TNH) as the primary source. The website provides all information about the tarekat, both the doctrine and the wirid, which are presented online. There is also an element of the simplification of orthodoxy which has so far been strictly guarded by conventional tarekat, but the rise of the Eshaykh website in the digital public sphere is offering tarekat practices that are easily accessible and reach all levels of society.","author":[{"dropping-particle":"","family":"Hidayat","given":"Ziaulhaq","non-dropping-particle":"","parse-names":false,"suffix":""}],"container-title":"Epistemé: Jurnal Pengembangan Ilmu Keislaman","id":"ITEM-1","issue":"2","issued":{"date-parts":[["2023"]]},"page":"197-223","publisher":"State Institute of Islamic Studies (IAIN) Tulungagung","title":"Transforming Sufism Into Digital Media","type":"article-journal","volume":"17"},"uris":["http://www.mendeley.com/documents/?uuid=4aba1efd-8022-4ddc-9ef0-2825a0a3d922"]}],"mendeley":{"formattedCitation":"(Hidayat, 2023)","plainTextFormattedCitation":"(Hidayat, 2023)","previouslyFormattedCitation":"(Hidayat, 2023)"},"properties":{"noteIndex":0},"schema":"https://github.com/citation-style-language/schema/raw/master/csl-citation.json"}</w:instrText>
      </w:r>
      <w:r w:rsidR="001C78AA" w:rsidRPr="000733C8">
        <w:rPr>
          <w:rStyle w:val="FootnoteReference"/>
          <w:rFonts w:ascii="Times New Roman" w:hAnsi="Times New Roman"/>
          <w:sz w:val="24"/>
          <w:szCs w:val="24"/>
          <w:lang w:val="it-IT"/>
        </w:rPr>
        <w:fldChar w:fldCharType="separate"/>
      </w:r>
      <w:r w:rsidR="005C727E" w:rsidRPr="000733C8">
        <w:rPr>
          <w:rFonts w:ascii="Times New Roman" w:hAnsi="Times New Roman"/>
          <w:noProof/>
          <w:sz w:val="24"/>
          <w:szCs w:val="24"/>
          <w:lang w:val="it-IT"/>
        </w:rPr>
        <w:t>(Hidayat, 2023)</w:t>
      </w:r>
      <w:r w:rsidR="001C78AA" w:rsidRPr="000733C8">
        <w:rPr>
          <w:rStyle w:val="FootnoteReference"/>
          <w:rFonts w:ascii="Times New Roman" w:hAnsi="Times New Roman"/>
          <w:sz w:val="24"/>
          <w:szCs w:val="24"/>
          <w:lang w:val="it-IT"/>
        </w:rPr>
        <w:fldChar w:fldCharType="end"/>
      </w:r>
      <w:r w:rsidRPr="000733C8">
        <w:rPr>
          <w:rFonts w:ascii="Times New Roman" w:hAnsi="Times New Roman"/>
          <w:sz w:val="24"/>
          <w:szCs w:val="24"/>
          <w:lang w:val="it-IT"/>
        </w:rPr>
        <w:t>. Dengan demikian, ajaran Sufisme dapat diakses oleh siapa pun di mana pun mereka berada, yang pada gilirannya memperluas jangkauan dan pengaruh tradisi Sufi.</w:t>
      </w:r>
    </w:p>
    <w:p w14:paraId="13F7D602" w14:textId="3CD53B02" w:rsidR="0032609A" w:rsidRPr="000733C8" w:rsidRDefault="00DF62E2" w:rsidP="0098594E">
      <w:pPr>
        <w:pStyle w:val="ListParagraph"/>
        <w:numPr>
          <w:ilvl w:val="0"/>
          <w:numId w:val="10"/>
        </w:numPr>
        <w:spacing w:after="0"/>
        <w:contextualSpacing w:val="0"/>
        <w:jc w:val="both"/>
        <w:rPr>
          <w:rFonts w:ascii="Times New Roman" w:hAnsi="Times New Roman"/>
          <w:sz w:val="24"/>
          <w:szCs w:val="24"/>
          <w:lang w:val="en-ID"/>
        </w:rPr>
      </w:pPr>
      <w:r w:rsidRPr="000733C8">
        <w:rPr>
          <w:rFonts w:ascii="Times New Roman" w:hAnsi="Times New Roman"/>
          <w:sz w:val="24"/>
          <w:szCs w:val="24"/>
          <w:lang w:val="it-IT"/>
        </w:rPr>
        <w:t>Hubungan dan Interaksi Antara Para Pengikut: Teknologi digital memfasilitasi hubungan dan interaksi di antara para pengikut Sufi dari berbagai belahan dunia</w:t>
      </w:r>
      <w:r w:rsidR="000733C8" w:rsidRPr="000733C8">
        <w:rPr>
          <w:rFonts w:ascii="Times New Roman" w:hAnsi="Times New Roman"/>
          <w:sz w:val="24"/>
          <w:szCs w:val="24"/>
          <w:lang w:val="it-IT"/>
        </w:rPr>
        <w:fldChar w:fldCharType="begin" w:fldLock="1"/>
      </w:r>
      <w:r w:rsidR="000733C8" w:rsidRPr="000733C8">
        <w:rPr>
          <w:rFonts w:ascii="Times New Roman" w:hAnsi="Times New Roman"/>
          <w:sz w:val="24"/>
          <w:szCs w:val="24"/>
          <w:lang w:val="it-IT"/>
        </w:rPr>
        <w:instrText>ADDIN CSL_CITATION {"citationItems":[{"id":"ITEM-1","itemData":{"DOI":"10.14421/522e5653","ISSN":"1978-0362","abstract":"The engagement of Sufism on Pakistani social media has sparked many concerns over the inclusivity of religious manifestations and the interpretation of the Qur'an. This research seeks to examine the historical development and objectives of Sufism in order to analyse the impact of Sufi activities in the digital domain, specifically focusing on the emergence of religious aberrations. The research was carried out utilizing qualitative methodologies by examining ancient Sufi literature and subsequently comparing it with Sufi practices in the digital domain. The findings demonstrate that internet platforms have fundamentally transformed the availability and dissemination of Sufi teachings, allowing an unparalleled avenue for dialogue and cultural manifestation that was before unachievable. Nevertheless, there are deficiencies in their attitude to community, instructional methods, and the impact of technology on their individual activities. The concept of Digital Sufism demonstrates the integration of traditional practices into the online world, resulting in both opportunities and challenges in the modern day. Praktik Sufi di media sosial Pakistan telah menimbulkan beberapa masalah terkait keberagaman dalam ekspresi keagamaan dan pemahaman terhadap teks Al-Qur’an. Melalui penelusuran sejarah dan tujuan tasawuf, penelitian ini bertujuan untuk melihat bagaimana praktik Sufi di ranah digital tersebut memunculkan distorsi keagamaan. Penelitian dilakukan dengan menggunakan metode kualitatif melalui studi literatur Sufi klasik dan kemudian membandingkannya dengan praktik sufi di ranah digital. Hasil penelitian menunjukkan platform online telah merevolusi aksesibilitas dan penyebaran ajaran Sufi, mendorong sebuah cara yang belum pernah terjadi sebelumnya untuk percakapan dan ekspresi budaya yang sebelumnya tidak mungkin tercapai. Namun, kesenjangan muncul dalam pendekatan mereka terhadap komunitas, teknik pengajaran, dan pengaruh teknologi terhadap praktik mereka masing-masing. Sufisme Digital mencontohkan asimilasi adat istiadat konvensional ke dalam ranah virtual, yang melahirkan prospek dan kompleksitas di era kontemporer.","author":[{"dropping-particle":"","family":"Waheed","given":"Usman","non-dropping-particle":"","parse-names":false,"suffix":""},{"dropping-particle":"","family":"Junejo","given":"Safiullah","non-dropping-particle":"","parse-names":false,"suffix":""},{"dropping-particle":"","family":"Numan","given":"Muhammad","non-dropping-particle":"","parse-names":false,"suffix":""}],"container-title":"Jurnal Sosiologi Reflektif","id":"ITEM-1","issue":"2","issued":{"date-parts":[["2024"]]},"publisher":"Sunan Kalijaga Islamic University","title":"Examining Sufi Practices on Social Media: Distortions and Complexities in Contemporary Pakistan","type":"article-journal","volume":"18"},"uris":["http://www.mendeley.com/documents/?uuid=43d6fb84-531c-46da-a491-5f1dc548cab1"]}],"mendeley":{"formattedCitation":"(Waheed et al., 2024)","plainTextFormattedCitation":"(Waheed et al., 2024)","previouslyFormattedCitation":"(Waheed et al., 2024)"},"properties":{"noteIndex":0},"schema":"https://github.com/citation-style-language/schema/raw/master/csl-citation.json"}</w:instrText>
      </w:r>
      <w:r w:rsidR="000733C8" w:rsidRPr="000733C8">
        <w:rPr>
          <w:rFonts w:ascii="Times New Roman" w:hAnsi="Times New Roman"/>
          <w:sz w:val="24"/>
          <w:szCs w:val="24"/>
          <w:lang w:val="it-IT"/>
        </w:rPr>
        <w:fldChar w:fldCharType="separate"/>
      </w:r>
      <w:r w:rsidR="000733C8" w:rsidRPr="000733C8">
        <w:rPr>
          <w:rFonts w:ascii="Times New Roman" w:hAnsi="Times New Roman"/>
          <w:noProof/>
          <w:sz w:val="24"/>
          <w:szCs w:val="24"/>
          <w:lang w:val="it-IT"/>
        </w:rPr>
        <w:t>(Waheed et al., 2024)</w:t>
      </w:r>
      <w:r w:rsidR="000733C8" w:rsidRPr="000733C8">
        <w:rPr>
          <w:rFonts w:ascii="Times New Roman" w:hAnsi="Times New Roman"/>
          <w:sz w:val="24"/>
          <w:szCs w:val="24"/>
          <w:lang w:val="it-IT"/>
        </w:rPr>
        <w:fldChar w:fldCharType="end"/>
      </w:r>
      <w:r w:rsidRPr="000733C8">
        <w:rPr>
          <w:rFonts w:ascii="Times New Roman" w:hAnsi="Times New Roman"/>
          <w:sz w:val="24"/>
          <w:szCs w:val="24"/>
          <w:lang w:val="en-ID"/>
        </w:rPr>
        <w:t>. Melalui forum daring, grup diskusi, dan platform komunikasi lainnya, para pengikut Sufi dapat berbagi. Tujuannya adalah untuk memfasilitasi pertukaran pengalaman, penyampaian sudut pandang, serta pemberian bantuan timbal balik satu sama lain dalam perjalanan spiritual mereka</w:t>
      </w:r>
      <w:r w:rsidR="001C78AA" w:rsidRPr="000733C8">
        <w:rPr>
          <w:rStyle w:val="FootnoteReference"/>
          <w:rFonts w:ascii="Times New Roman" w:hAnsi="Times New Roman"/>
          <w:sz w:val="24"/>
          <w:szCs w:val="24"/>
          <w:lang w:val="it-IT"/>
        </w:rPr>
        <w:fldChar w:fldCharType="begin" w:fldLock="1"/>
      </w:r>
      <w:r w:rsidR="005C727E" w:rsidRPr="000733C8">
        <w:rPr>
          <w:rFonts w:ascii="Times New Roman" w:hAnsi="Times New Roman"/>
          <w:sz w:val="24"/>
          <w:szCs w:val="24"/>
          <w:lang w:val="en-ID"/>
        </w:rPr>
        <w:instrText>ADDIN CSL_CITATION {"citationItems":[{"id":"ITEM-1","itemData":{"DOI":"10.14421/522e5653","ISSN":"1978-0362","abstract":"The engagement of Sufism on Pakistani social media has sparked many concerns over the inclusivity of religious manifestations and the interpretation of the Qur'an. This research seeks to examine the historical development and objectives of Sufism in order to analyse the impact of Sufi activities in the digital domain, specifically focusing on the emergence of religious aberrations. The research was carried out utilizing qualitative methodologies by examining ancient Sufi literature and subsequently comparing it with Sufi practices in the digital domain. The findings demonstrate that internet platforms have fundamentally transformed the availability and dissemination of Sufi teachings, allowing an unparalleled avenue for dialogue and cultural manifestation that was before unachievable. Nevertheless, there are deficiencies in their attitude to community, instructional methods, and the impact of technology on their individual activities. The concept of Digital Sufism demonstrates the integration of traditional practices into the online world, resulting in both opportunities and challenges in the modern day. Praktik Sufi di media sosial Pakistan telah menimbulkan beberapa masalah terkait keberagaman dalam ekspresi keagamaan dan pemahaman terhadap teks Al-Qur’an. Melalui penelusuran sejarah dan tujuan tasawuf, penelitian ini bertujuan untuk melihat bagaimana praktik Sufi di ranah digital tersebut memunculkan distorsi keagamaan. Penelitian dilakukan dengan menggunakan metode kualitatif melalui studi literatur Sufi klasik dan kemudian membandingkannya dengan praktik sufi di ranah digital. Hasil penelitian menunjukkan platform online telah merevolusi aksesibilitas dan penyebaran ajaran Sufi, mendorong sebuah cara yang belum pernah terjadi sebelumnya untuk percakapan dan ekspresi budaya yang sebelumnya tidak mungkin tercapai. Namun, kesenjangan muncul dalam pendekatan mereka terhadap komunitas, teknik pengajaran, dan pengaruh teknologi terhadap praktik mereka masing-masing. Sufisme Digital mencontohkan asimilasi adat istiadat konvensional ke dalam ranah virtual, yang melahirkan prospek dan kompleksitas di era kontemporer.","author":[{"dropping-particle":"","family":"Waheed","given":"Usman","non-dropping-particle":"","parse-names":false,"suffix":""},{"dropping-particle":"","family":"Junejo","given":"Safiullah","non-dropping-particle":"","parse-names":false,"suffix":""},{"dropping-particle":"","family":"Numan","given":"Muhammad","non-dropping-particle":"","parse-names":false,"suffix":""}],"container-title":"Jurnal Sosiologi Reflektif","id":"ITEM-1","issue":"2","issued":{"date-parts":[["2024"]]},"publisher":"Sunan Kalijaga Islamic University","title":"Examining Sufi Practices on Social Media: Distortions and Complexities in Contemporary Pakistan","type":"article-journal","volume":"18"},"uris":["http://www.mendeley.com/documents/?uuid=43d6fb84-531c-46da-a491-5f1dc548cab1"]}],"mendeley":{"formattedCitation":"(Waheed et al., 2024)","manualFormatting":"Waheed, Junejo, And Numan.","plainTextFormattedCitation":"(Waheed et al., 2024)","previouslyFormattedCitation":"(Waheed et al., 2024)"},"properties":{"noteIndex":0},"schema":"https://github.com/citation-style-language/schema/raw/master/csl-citation.json"}</w:instrText>
      </w:r>
      <w:r w:rsidR="001C78AA" w:rsidRPr="000733C8">
        <w:rPr>
          <w:rStyle w:val="FootnoteReference"/>
          <w:rFonts w:ascii="Times New Roman" w:hAnsi="Times New Roman"/>
          <w:sz w:val="24"/>
          <w:szCs w:val="24"/>
          <w:lang w:val="it-IT"/>
        </w:rPr>
        <w:fldChar w:fldCharType="separate"/>
      </w:r>
      <w:r w:rsidR="001C78AA" w:rsidRPr="000733C8">
        <w:rPr>
          <w:rFonts w:ascii="Times New Roman" w:hAnsi="Times New Roman"/>
          <w:noProof/>
          <w:sz w:val="24"/>
          <w:szCs w:val="24"/>
          <w:lang w:val="en-ID"/>
        </w:rPr>
        <w:t>Waheed, Junejo, And Numan.</w:t>
      </w:r>
      <w:r w:rsidR="001C78AA" w:rsidRPr="000733C8">
        <w:rPr>
          <w:rStyle w:val="FootnoteReference"/>
          <w:rFonts w:ascii="Times New Roman" w:hAnsi="Times New Roman"/>
          <w:sz w:val="24"/>
          <w:szCs w:val="24"/>
          <w:lang w:val="it-IT"/>
        </w:rPr>
        <w:fldChar w:fldCharType="end"/>
      </w:r>
      <w:r w:rsidRPr="000733C8">
        <w:rPr>
          <w:rFonts w:ascii="Times New Roman" w:hAnsi="Times New Roman"/>
          <w:sz w:val="24"/>
          <w:szCs w:val="24"/>
          <w:lang w:val="en-ID"/>
        </w:rPr>
        <w:t>. Hal ini mendorong terbentuknya komunitas virtual yang kokoh, di mana para anggota merasakan ikatan dan dukungan dari sesama pengikut di seluruh dunia.</w:t>
      </w:r>
    </w:p>
    <w:p w14:paraId="695500B2" w14:textId="0E5AB5F3" w:rsidR="00DF62E2" w:rsidRPr="000733C8" w:rsidRDefault="00DF62E2" w:rsidP="0098594E">
      <w:pPr>
        <w:pStyle w:val="ListParagraph"/>
        <w:numPr>
          <w:ilvl w:val="0"/>
          <w:numId w:val="10"/>
        </w:numPr>
        <w:spacing w:after="0"/>
        <w:contextualSpacing w:val="0"/>
        <w:jc w:val="both"/>
        <w:rPr>
          <w:rFonts w:ascii="Times New Roman" w:hAnsi="Times New Roman"/>
          <w:sz w:val="24"/>
          <w:szCs w:val="24"/>
          <w:lang w:val="en-ID"/>
        </w:rPr>
      </w:pPr>
      <w:r w:rsidRPr="000733C8">
        <w:rPr>
          <w:rFonts w:ascii="Times New Roman" w:hAnsi="Times New Roman"/>
          <w:sz w:val="24"/>
          <w:szCs w:val="24"/>
          <w:lang w:val="en-ID"/>
        </w:rPr>
        <w:t>Menerima Bimbingan Spiritual: Selain itu, forum daring dan kelompok diskusi berfungsi sebagai ruang virtual tempat para pengikut Sufi dapat mencari nasihat spiritual dari para pemimpin dan guru mereka</w:t>
      </w:r>
      <w:r w:rsidR="000733C8" w:rsidRPr="000733C8">
        <w:rPr>
          <w:rFonts w:ascii="Times New Roman" w:hAnsi="Times New Roman"/>
          <w:sz w:val="24"/>
          <w:szCs w:val="24"/>
          <w:lang w:val="en-ID"/>
        </w:rPr>
        <w:fldChar w:fldCharType="begin" w:fldLock="1"/>
      </w:r>
      <w:r w:rsidR="000733C8" w:rsidRPr="000733C8">
        <w:rPr>
          <w:rFonts w:ascii="Times New Roman" w:hAnsi="Times New Roman"/>
          <w:sz w:val="24"/>
          <w:szCs w:val="24"/>
          <w:lang w:val="en-ID"/>
        </w:rPr>
        <w:instrText>ADDIN CSL_CITATION {"citationItems":[{"id":"ITEM-1","itemData":{"DOI":"10.31316/g-couns.v9i3.7780","ISSN":"2541-6782","abstract":"This study explores the transformation of Sufistic da'wah and Islamic spiritual psychotherapy through the practice of online manaqib in the Qadiriyah Naqsyabandiyah (TQN) Tarekat community in Indonesia. This adaptation emerged in response to geographical and time constraints in traditional spiritual gatherings. Through semi-structured interviews, participatory observations, and digital documentation analysis, this study analyzes the spiritual and therapeutic impact of online manaqib. The results demonstrate that this practice upholds the core values of Sufi spirituality while expanding the reach of da'wah through digital platforms, such as Zoom. Virtual interaction between the murshid and the disciple fosters a meaningful spiritual connection, even in the absence of physical presence. Additionally, online manaqib serve as a therapeutic medium that promotes inner peace and spiritual resilience. This study presents an integrative model for technology-based spiritual guidance services, which is particularly relevant for urban communities in the digital and post-pandemic era. Keywords: manaqib online, religious counseling, digital spiritual community, islamic psychotherapy, neo-sufism","author":[{"dropping-particle":"","family":"Rahman Hakim","given":"Budi","non-dropping-particle":"","parse-names":false,"suffix":""}],"container-title":"G-Couns: Jurnal Bimbingan dan Konseling","id":"ITEM-1","issue":"3","issued":{"date-parts":[["2025"]]},"page":"2278-2291","title":"Transformation of Sufistic Da'wah and Islamic Psychotherapy Through Online Manaqib: A Qualitative Case Study on Tarekat Qadiriyah Naqsyabandiyah Community in Indonesia","type":"article-journal","volume":"9"},"uris":["http://www.mendeley.com/documents/?uuid=2f5c7faa-bb00-448e-9f35-9a7b78f34cc7"]}],"mendeley":{"formattedCitation":"(Rahman Hakim, 2025)","plainTextFormattedCitation":"(Rahman Hakim, 2025)","previouslyFormattedCitation":"(Rahman Hakim, 2025)"},"properties":{"noteIndex":0},"schema":"https://github.com/citation-style-language/schema/raw/master/csl-citation.json"}</w:instrText>
      </w:r>
      <w:r w:rsidR="000733C8" w:rsidRPr="000733C8">
        <w:rPr>
          <w:rFonts w:ascii="Times New Roman" w:hAnsi="Times New Roman"/>
          <w:sz w:val="24"/>
          <w:szCs w:val="24"/>
          <w:lang w:val="en-ID"/>
        </w:rPr>
        <w:fldChar w:fldCharType="separate"/>
      </w:r>
      <w:r w:rsidR="000733C8" w:rsidRPr="000733C8">
        <w:rPr>
          <w:rFonts w:ascii="Times New Roman" w:hAnsi="Times New Roman"/>
          <w:noProof/>
          <w:sz w:val="24"/>
          <w:szCs w:val="24"/>
          <w:lang w:val="en-ID"/>
        </w:rPr>
        <w:t>(Rahman Hakim, 2025)</w:t>
      </w:r>
      <w:r w:rsidR="000733C8" w:rsidRPr="000733C8">
        <w:rPr>
          <w:rFonts w:ascii="Times New Roman" w:hAnsi="Times New Roman"/>
          <w:sz w:val="24"/>
          <w:szCs w:val="24"/>
          <w:lang w:val="en-ID"/>
        </w:rPr>
        <w:fldChar w:fldCharType="end"/>
      </w:r>
      <w:r w:rsidRPr="000733C8">
        <w:rPr>
          <w:rFonts w:ascii="Times New Roman" w:hAnsi="Times New Roman"/>
          <w:sz w:val="24"/>
          <w:szCs w:val="24"/>
          <w:lang w:val="en-ID"/>
        </w:rPr>
        <w:t>. Diskusi-diskusi ini mendorong pertukaran gagasan, pertanyaan, dan renungan spiritual yang mendalam, yang dapat memfasilitasi pemahaman dan respons yang lebih mendalam terhadap ajaran Sufi pada tingkat pribadi. Selain itu, sejumlah pemimpin Sufi telah memperluas penawaran bimbingan spiritual mereka dengan menyertakan layanan daring, guna memenuhi kebutuhan para pengikutnya dalam perjalanan spiritual mereka.</w:t>
      </w:r>
    </w:p>
    <w:p w14:paraId="7D0892F0" w14:textId="73CBFBF6" w:rsidR="00DF62E2" w:rsidRPr="000733C8" w:rsidRDefault="00DF62E2" w:rsidP="0098594E">
      <w:pPr>
        <w:spacing w:line="276" w:lineRule="auto"/>
        <w:ind w:firstLine="567"/>
        <w:jc w:val="both"/>
        <w:rPr>
          <w:lang w:val="en-ID"/>
        </w:rPr>
      </w:pPr>
      <w:r w:rsidRPr="000733C8">
        <w:rPr>
          <w:lang w:val="en-ID"/>
        </w:rPr>
        <w:t>Akibatnya, teknologi digital telah muncul sebagai alat yang ampuh untuk menyebarluaskan dan memperkuat tradisi Sufi di era modern ini. Perkembangan ini berpotensi memfasilitasi akses yang lebih luas terhadap ajaran dan praktik Sufi, mendorong terbentuknya komunitas global yang bersatu, serta menawarkan jalan bagi pertumbuhan spiritual individu di tengah lanskap digital</w:t>
      </w:r>
      <w:r w:rsidR="000733C8" w:rsidRPr="000733C8">
        <w:rPr>
          <w:lang w:val="en-ID"/>
        </w:rPr>
        <w:fldChar w:fldCharType="begin" w:fldLock="1"/>
      </w:r>
      <w:r w:rsidR="000733C8">
        <w:rPr>
          <w:lang w:val="en-ID"/>
        </w:rPr>
        <w:instrText>ADDIN CSL_CITATION {"citationItems":[{"id":"ITEM-1","itemData":{"DOI":"10.54437/iljjislamiclearningjournal.v2i1.1209","ISSN":"2985-6094","abstract":"Sufism, as one of the branches in Islamic tradition, plays a significant role in maintaining individual spiritual awareness. However, with the rapid advancement of digital technology, we find ourselves amidst a constant flow of information and distractions. The purpose of this research is to explore how Sufism can play a relevant role in this digital era to assist individuals in preserving their spiritual awareness. Additionally, this article highlights the importance of Sufism education in the digital era. This article involves conceptual analysis and literature review on Sufism and the impact of digital technology on spiritual awareness. The research findings indicate that the unavoidable technological wave can pose significant challenges for individuals who seek to maintain their spiritual awareness. Distortions of spiritual experiences, neglect of ethical values, and dependence on the virtual world can obscure the understanding and practice of Sufism. However, Sufism also offers relevant and beneficial tools to confront these challenges. Practices such as meditation, introspection, and self-control can assist individuals in strengthening their spiritual awareness in the digital era. Furthermore, a Sufi approach centered on the relationship with God and universal love can help individuals view technology as a tool that can be wisely utilized to enhance spiritual awareness, rather than a source of distraction.","author":[{"dropping-particle":"","family":"Wahid","given":"Annisa","non-dropping-particle":"","parse-names":false,"suffix":""},{"dropping-particle":"","family":"Maskhuroh","given":"Lailatul","non-dropping-particle":"","parse-names":false,"suffix":""}],"container-title":"ILJ: Islamic Learning Journal","id":"ITEM-1","issue":"1","issued":{"date-parts":[["2023"]]},"page":"55-73","title":"Tasawuf Dalam Era Digital","type":"article-journal","volume":"2"},"uris":["http://www.mendeley.com/documents/?uuid=138effb0-16e6-4abd-ad72-98030e312889"]}],"mendeley":{"formattedCitation":"(Wahid &amp; Maskhuroh, 2023)","plainTextFormattedCitation":"(Wahid &amp; Maskhuroh, 2023)","previouslyFormattedCitation":"(Wahid &amp; Maskhuroh, 2023)"},"properties":{"noteIndex":0},"schema":"https://github.com/citation-style-language/schema/raw/master/csl-citation.json"}</w:instrText>
      </w:r>
      <w:r w:rsidR="000733C8" w:rsidRPr="000733C8">
        <w:rPr>
          <w:lang w:val="en-ID"/>
        </w:rPr>
        <w:fldChar w:fldCharType="separate"/>
      </w:r>
      <w:r w:rsidR="000733C8" w:rsidRPr="000733C8">
        <w:rPr>
          <w:noProof/>
          <w:lang w:val="en-ID"/>
        </w:rPr>
        <w:t>(Wahid &amp; Maskhuroh, 2023)</w:t>
      </w:r>
      <w:r w:rsidR="000733C8" w:rsidRPr="000733C8">
        <w:rPr>
          <w:lang w:val="en-ID"/>
        </w:rPr>
        <w:fldChar w:fldCharType="end"/>
      </w:r>
      <w:r w:rsidRPr="000733C8">
        <w:rPr>
          <w:lang w:val="en-ID"/>
        </w:rPr>
        <w:t>. Namun, seperti halnya semua teknologi, terdapat pula tantangan dan risiko yang harus dipertimbangkan, seperti masalah keamanan data dan potensi penyebaran informasi yang tidak akurat atau merugikan.</w:t>
      </w:r>
    </w:p>
    <w:p w14:paraId="7F37AB23" w14:textId="7C9B4479" w:rsidR="0032609A" w:rsidRPr="000733C8" w:rsidRDefault="0032609A" w:rsidP="0098594E">
      <w:pPr>
        <w:pStyle w:val="ListParagraph"/>
        <w:numPr>
          <w:ilvl w:val="1"/>
          <w:numId w:val="8"/>
        </w:numPr>
        <w:spacing w:after="0"/>
        <w:contextualSpacing w:val="0"/>
        <w:jc w:val="both"/>
        <w:rPr>
          <w:rFonts w:ascii="Times New Roman" w:hAnsi="Times New Roman"/>
          <w:b/>
          <w:bCs/>
          <w:i/>
          <w:iCs/>
          <w:sz w:val="24"/>
          <w:szCs w:val="24"/>
        </w:rPr>
      </w:pPr>
      <w:r w:rsidRPr="000733C8">
        <w:rPr>
          <w:rFonts w:ascii="Times New Roman" w:hAnsi="Times New Roman"/>
          <w:b/>
          <w:bCs/>
          <w:i/>
          <w:iCs/>
          <w:sz w:val="24"/>
          <w:szCs w:val="24"/>
        </w:rPr>
        <w:t>Urban Sufisme dalam Membentuk Tren Halal Lifestyle yang Inklusif</w:t>
      </w:r>
    </w:p>
    <w:p w14:paraId="377787F3" w14:textId="14B23852" w:rsidR="0032609A" w:rsidRPr="000733C8" w:rsidRDefault="0032609A" w:rsidP="0098594E">
      <w:pPr>
        <w:spacing w:line="276" w:lineRule="auto"/>
        <w:ind w:firstLine="567"/>
        <w:jc w:val="both"/>
        <w:rPr>
          <w:lang w:val="it-IT"/>
        </w:rPr>
      </w:pPr>
      <w:r w:rsidRPr="000733C8">
        <w:rPr>
          <w:lang w:val="it-IT"/>
        </w:rPr>
        <w:t>Transformasi Urban Sufisme di era digital tidak lagi sekadar manifes dalam bentuk ritualitas zikir virtual atau pencarian ketenangan batin yang terisolasi. Karakteristik tasawuf urban yang inklusif, fleksibel, dan apresiatif terhadap dimensi estetika telah mengalami proses mediatisasi siber yang sangat masif. Melalui platform media sosial seperti Instagram, YouTube, dan TikTok, para penggiat tasawuf urban berhasil mengemas ajaran spiritualitas Islam klasik (seperti pembersihan jiwa dan cinta kasih Ilahi) menjadi sebuah konten visual yang estetik, modern, dan ramah terhadap dinamika kehidupan masyarakat perkotaan. Dalam perspektif sosiologi ekonomi Islam, adaptasi siber ini secara langsung berimplikasi pada pembentukan budaya selera (</w:t>
      </w:r>
      <w:r w:rsidRPr="000733C8">
        <w:rPr>
          <w:i/>
          <w:iCs/>
          <w:lang w:val="it-IT"/>
        </w:rPr>
        <w:t>taste cultures</w:t>
      </w:r>
      <w:r w:rsidRPr="000733C8">
        <w:rPr>
          <w:lang w:val="it-IT"/>
        </w:rPr>
        <w:t xml:space="preserve">) baru di kalangan kelas menengah muslim urban. Kesalehan tidak </w:t>
      </w:r>
      <w:r w:rsidRPr="000733C8">
        <w:rPr>
          <w:lang w:val="it-IT"/>
        </w:rPr>
        <w:lastRenderedPageBreak/>
        <w:t>lagi direpresentasikan melalui penampilan yang kaku, melainkan diwujudkan melalui gaya hidup halal yang modis dan elegan (</w:t>
      </w:r>
      <w:r w:rsidRPr="000733C8">
        <w:rPr>
          <w:i/>
          <w:iCs/>
          <w:lang w:val="it-IT"/>
        </w:rPr>
        <w:t>Sufi-Chic</w:t>
      </w:r>
      <w:r w:rsidRPr="000733C8">
        <w:rPr>
          <w:lang w:val="it-IT"/>
        </w:rPr>
        <w:t xml:space="preserve">). Implikasi nyata dari gerakan tasawuf digital ini terhadap tren </w:t>
      </w:r>
      <w:r w:rsidRPr="000733C8">
        <w:rPr>
          <w:i/>
          <w:iCs/>
          <w:lang w:val="it-IT"/>
        </w:rPr>
        <w:t>halal lifestyle</w:t>
      </w:r>
      <w:r w:rsidRPr="000733C8">
        <w:rPr>
          <w:lang w:val="it-IT"/>
        </w:rPr>
        <w:t xml:space="preserve"> dapat dipetakan ke dalam beberapa sektor utama:</w:t>
      </w:r>
    </w:p>
    <w:p w14:paraId="6817B5B4" w14:textId="77777777" w:rsidR="0032609A" w:rsidRPr="000733C8" w:rsidRDefault="0032609A" w:rsidP="0098594E">
      <w:pPr>
        <w:pStyle w:val="ListParagraph"/>
        <w:numPr>
          <w:ilvl w:val="0"/>
          <w:numId w:val="11"/>
        </w:numPr>
        <w:spacing w:after="0"/>
        <w:contextualSpacing w:val="0"/>
        <w:jc w:val="both"/>
        <w:rPr>
          <w:rFonts w:ascii="Times New Roman" w:hAnsi="Times New Roman"/>
          <w:sz w:val="24"/>
          <w:szCs w:val="24"/>
          <w:lang w:val="it-IT"/>
        </w:rPr>
      </w:pPr>
      <w:r w:rsidRPr="000733C8">
        <w:rPr>
          <w:rFonts w:ascii="Times New Roman" w:hAnsi="Times New Roman"/>
          <w:sz w:val="24"/>
          <w:szCs w:val="24"/>
          <w:lang w:val="it-IT"/>
        </w:rPr>
        <w:t xml:space="preserve">Ekosistem </w:t>
      </w:r>
      <w:r w:rsidRPr="000733C8">
        <w:rPr>
          <w:rFonts w:ascii="Times New Roman" w:hAnsi="Times New Roman"/>
          <w:i/>
          <w:iCs/>
          <w:sz w:val="24"/>
          <w:szCs w:val="24"/>
          <w:lang w:val="it-IT"/>
        </w:rPr>
        <w:t>Modest Fashion</w:t>
      </w:r>
      <w:r w:rsidRPr="000733C8">
        <w:rPr>
          <w:rFonts w:ascii="Times New Roman" w:hAnsi="Times New Roman"/>
          <w:sz w:val="24"/>
          <w:szCs w:val="24"/>
          <w:lang w:val="it-IT"/>
        </w:rPr>
        <w:t xml:space="preserve"> Perkotaan: Konten digital tasawuf perkotaan secara aktif mempromosikan visualisasi muslimah yang cerdas, bersih, dan berbusana modis namun tetap menjaga nilai kesantunan (syar'i). Hal ini menjadi stimulus besar bagi pertumbuhan industri </w:t>
      </w:r>
      <w:r w:rsidRPr="000733C8">
        <w:rPr>
          <w:rFonts w:ascii="Times New Roman" w:hAnsi="Times New Roman"/>
          <w:i/>
          <w:iCs/>
          <w:sz w:val="24"/>
          <w:szCs w:val="24"/>
          <w:lang w:val="it-IT"/>
        </w:rPr>
        <w:t>modest fashion</w:t>
      </w:r>
      <w:r w:rsidRPr="000733C8">
        <w:rPr>
          <w:rFonts w:ascii="Times New Roman" w:hAnsi="Times New Roman"/>
          <w:sz w:val="24"/>
          <w:szCs w:val="24"/>
          <w:lang w:val="it-IT"/>
        </w:rPr>
        <w:t xml:space="preserve"> perkotaan yang menekankan pada nilai estetika dan kenyamanan, bukan sekadar pemenuhan hukum formal berpakaian.</w:t>
      </w:r>
    </w:p>
    <w:p w14:paraId="41E933D7" w14:textId="77777777" w:rsidR="0032609A" w:rsidRPr="000733C8" w:rsidRDefault="0032609A" w:rsidP="0098594E">
      <w:pPr>
        <w:pStyle w:val="ListParagraph"/>
        <w:numPr>
          <w:ilvl w:val="0"/>
          <w:numId w:val="11"/>
        </w:numPr>
        <w:spacing w:after="0"/>
        <w:contextualSpacing w:val="0"/>
        <w:jc w:val="both"/>
        <w:rPr>
          <w:rFonts w:ascii="Times New Roman" w:hAnsi="Times New Roman"/>
          <w:sz w:val="24"/>
          <w:szCs w:val="24"/>
          <w:lang w:val="it-IT"/>
        </w:rPr>
      </w:pPr>
      <w:r w:rsidRPr="000733C8">
        <w:rPr>
          <w:rFonts w:ascii="Times New Roman" w:hAnsi="Times New Roman"/>
          <w:sz w:val="24"/>
          <w:szCs w:val="24"/>
          <w:lang w:val="it-IT"/>
        </w:rPr>
        <w:t>Komodifikasi Literasi Spiritual: Popularitas Urban Sufisme di ruang siber memicu ledakan permintaan terhadap produk-produk penunjang spiritualitas estetik. Tren ini ditandai dengan tingginya konsumsi terhadap buku-buku motivasi islami kontemporer, aplikasi zikir dan meditasi islami, hingga kelas-kelas pengembangan diri berbasis spiritualitas (</w:t>
      </w:r>
      <w:r w:rsidRPr="000733C8">
        <w:rPr>
          <w:rFonts w:ascii="Times New Roman" w:hAnsi="Times New Roman"/>
          <w:i/>
          <w:iCs/>
          <w:sz w:val="24"/>
          <w:szCs w:val="24"/>
          <w:lang w:val="it-IT"/>
        </w:rPr>
        <w:t>spiritual healing</w:t>
      </w:r>
      <w:r w:rsidRPr="000733C8">
        <w:rPr>
          <w:rFonts w:ascii="Times New Roman" w:hAnsi="Times New Roman"/>
          <w:sz w:val="24"/>
          <w:szCs w:val="24"/>
          <w:lang w:val="it-IT"/>
        </w:rPr>
        <w:t xml:space="preserve">) berbayar yang dikelola secara profesional di pusat-pusat kota. </w:t>
      </w:r>
    </w:p>
    <w:p w14:paraId="75F644B4" w14:textId="547C5C2E" w:rsidR="0032609A" w:rsidRPr="000733C8" w:rsidRDefault="0032609A" w:rsidP="0098594E">
      <w:pPr>
        <w:pStyle w:val="ListParagraph"/>
        <w:numPr>
          <w:ilvl w:val="0"/>
          <w:numId w:val="11"/>
        </w:numPr>
        <w:spacing w:after="0"/>
        <w:contextualSpacing w:val="0"/>
        <w:jc w:val="both"/>
        <w:rPr>
          <w:rFonts w:ascii="Times New Roman" w:hAnsi="Times New Roman"/>
          <w:sz w:val="24"/>
          <w:szCs w:val="24"/>
          <w:lang w:val="it-IT"/>
        </w:rPr>
      </w:pPr>
      <w:r w:rsidRPr="000733C8">
        <w:rPr>
          <w:rFonts w:ascii="Times New Roman" w:hAnsi="Times New Roman"/>
          <w:sz w:val="24"/>
          <w:szCs w:val="24"/>
          <w:lang w:val="it-IT"/>
        </w:rPr>
        <w:t xml:space="preserve">Industri </w:t>
      </w:r>
      <w:r w:rsidRPr="000733C8">
        <w:rPr>
          <w:rFonts w:ascii="Times New Roman" w:hAnsi="Times New Roman"/>
          <w:i/>
          <w:iCs/>
          <w:sz w:val="24"/>
          <w:szCs w:val="24"/>
          <w:lang w:val="it-IT"/>
        </w:rPr>
        <w:t>Halal Tourism</w:t>
      </w:r>
      <w:r w:rsidRPr="000733C8">
        <w:rPr>
          <w:rFonts w:ascii="Times New Roman" w:hAnsi="Times New Roman"/>
          <w:sz w:val="24"/>
          <w:szCs w:val="24"/>
          <w:lang w:val="it-IT"/>
        </w:rPr>
        <w:t xml:space="preserve"> dan Kuliner Inklusif: Karakter tasawuf yang moderat dan toleran terhadap akulturasi budaya mendorong pengikutnya untuk mengadopsi tren wisata halal (</w:t>
      </w:r>
      <w:r w:rsidRPr="000733C8">
        <w:rPr>
          <w:rFonts w:ascii="Times New Roman" w:hAnsi="Times New Roman"/>
          <w:i/>
          <w:iCs/>
          <w:sz w:val="24"/>
          <w:szCs w:val="24"/>
          <w:lang w:val="it-IT"/>
        </w:rPr>
        <w:t>halal tourism</w:t>
      </w:r>
      <w:r w:rsidRPr="000733C8">
        <w:rPr>
          <w:rFonts w:ascii="Times New Roman" w:hAnsi="Times New Roman"/>
          <w:sz w:val="24"/>
          <w:szCs w:val="24"/>
          <w:lang w:val="it-IT"/>
        </w:rPr>
        <w:t xml:space="preserve">) yang berfokus pada konten sejarah, tadabbur alam, dan kenyamanan ibadah. Pilihan konsumsi kuliner mereka pun cenderung mengarah pada kafe atau restoran perkotaan yang tidak hanya menjamin kehalalan produk, tetapi juga menawarkan atmosfer ruang yang bersih, tenang, dan estetik untuk mendukung ruang kontemplasi urban. </w:t>
      </w:r>
    </w:p>
    <w:p w14:paraId="03B6A4D5" w14:textId="77777777" w:rsidR="0032609A" w:rsidRPr="000733C8" w:rsidRDefault="0032609A" w:rsidP="0098594E">
      <w:pPr>
        <w:spacing w:line="276" w:lineRule="auto"/>
        <w:ind w:firstLine="567"/>
        <w:jc w:val="both"/>
        <w:rPr>
          <w:lang w:val="it-IT"/>
        </w:rPr>
      </w:pPr>
      <w:r w:rsidRPr="000733C8">
        <w:rPr>
          <w:lang w:val="it-IT"/>
        </w:rPr>
        <w:t xml:space="preserve">Melalui pola ini, Urban Sufisme digital sukses melakukan komodifikasi agama yang positif. Mereka menerjemahkan doktrin esoteris tasawuf menjadi sebuah identitas gaya hidup yang bernilai ekonomi tinggi, sekaligus membuat </w:t>
      </w:r>
      <w:r w:rsidRPr="000733C8">
        <w:rPr>
          <w:i/>
          <w:iCs/>
          <w:lang w:val="it-IT"/>
        </w:rPr>
        <w:t>halal lifestyle</w:t>
      </w:r>
      <w:r w:rsidRPr="000733C8">
        <w:rPr>
          <w:lang w:val="it-IT"/>
        </w:rPr>
        <w:t xml:space="preserve"> menjadi tren yang sangat atraktif, inklusif, dan adaptif di tengah modernitas siber.</w:t>
      </w:r>
    </w:p>
    <w:p w14:paraId="188BAA72" w14:textId="6DD059C6" w:rsidR="0098594E" w:rsidRPr="000733C8" w:rsidRDefault="0098594E" w:rsidP="0098594E">
      <w:pPr>
        <w:pStyle w:val="ListParagraph"/>
        <w:numPr>
          <w:ilvl w:val="1"/>
          <w:numId w:val="8"/>
        </w:numPr>
        <w:spacing w:after="120"/>
        <w:jc w:val="both"/>
        <w:rPr>
          <w:rFonts w:ascii="Times New Roman" w:hAnsi="Times New Roman"/>
          <w:b/>
          <w:bCs/>
          <w:i/>
          <w:iCs/>
          <w:sz w:val="24"/>
          <w:szCs w:val="24"/>
          <w:lang w:val="it-IT"/>
        </w:rPr>
      </w:pPr>
      <w:r w:rsidRPr="000733C8">
        <w:rPr>
          <w:rFonts w:ascii="Times New Roman" w:hAnsi="Times New Roman"/>
          <w:b/>
          <w:bCs/>
          <w:i/>
          <w:iCs/>
          <w:sz w:val="24"/>
          <w:szCs w:val="24"/>
          <w:lang w:val="it-IT"/>
        </w:rPr>
        <w:t>Pasar Hijrah dan Standarisasi Literasi Muamalah: Respons Siber Gerakan Salafi Terhadap Industri Halal Kontemporer</w:t>
      </w:r>
    </w:p>
    <w:p w14:paraId="1C98BC34" w14:textId="77777777" w:rsidR="0098594E" w:rsidRPr="000733C8" w:rsidRDefault="0098594E" w:rsidP="0098594E">
      <w:pPr>
        <w:spacing w:after="120" w:line="276" w:lineRule="auto"/>
        <w:ind w:firstLine="567"/>
        <w:jc w:val="both"/>
        <w:rPr>
          <w:lang w:val="it-IT"/>
        </w:rPr>
      </w:pPr>
      <w:r w:rsidRPr="000733C8">
        <w:rPr>
          <w:lang w:val="it-IT"/>
        </w:rPr>
        <w:t xml:space="preserve">Berbeda dengan pendekatan Urban Sufisme yang berbasis estetika-inklusif, gerakan Salafi di era digital merespons tantangan kontemporer melalui pendekatan literalis-skripturalis yang menekankan aspek otentisitas dan purifikasi (pemurnian) ajaran. Melalui pemanfaatan media digital secara terstruktur, para dai Salafi berhasil mengonsolidasikan kelompok kelas menengah urban melalui satu narasi besar yang sangat populer: "Hijrah". Narasi hijrah yang diproduksi di ruang siber ini tidak hanya menuntut perubahan dalam aspek akidah dan ibadah mahdhah, melainkan mewajibkan adanya reformasi total terhadap perilaku konsumsi ekonomi pengikutnya. </w:t>
      </w:r>
    </w:p>
    <w:p w14:paraId="2A78DA1A" w14:textId="77777777" w:rsidR="0098594E" w:rsidRPr="000733C8" w:rsidRDefault="0098594E" w:rsidP="0098594E">
      <w:pPr>
        <w:spacing w:after="120" w:line="276" w:lineRule="auto"/>
        <w:ind w:firstLine="567"/>
        <w:jc w:val="both"/>
        <w:rPr>
          <w:lang w:val="en-ID"/>
        </w:rPr>
      </w:pPr>
      <w:r w:rsidRPr="000733C8">
        <w:rPr>
          <w:lang w:val="it-IT"/>
        </w:rPr>
        <w:t>Gerakan siber Salafi bertindak sebagai agen penegak standarisasi (</w:t>
      </w:r>
      <w:r w:rsidRPr="000733C8">
        <w:rPr>
          <w:i/>
          <w:iCs/>
          <w:lang w:val="it-IT"/>
        </w:rPr>
        <w:t>gatekeeper</w:t>
      </w:r>
      <w:r w:rsidRPr="000733C8">
        <w:rPr>
          <w:lang w:val="it-IT"/>
        </w:rPr>
        <w:t xml:space="preserve">) yang sangat ketat terhadap ekosistem industri halal domestik. Kampanye digital mereka yang masif mengenai urgensi menjauhi makanan syubhat, kosmetika haram, dan transaksi berbasis riba telah memicu pergeseran radikal pada perilaku pasar masyarakat perkotaan. </w:t>
      </w:r>
      <w:r w:rsidRPr="000733C8">
        <w:rPr>
          <w:lang w:val="en-ID"/>
        </w:rPr>
        <w:t xml:space="preserve">Implikasi terstruktur dari dakwah siber Salafi terhadap tren </w:t>
      </w:r>
      <w:r w:rsidRPr="000733C8">
        <w:rPr>
          <w:i/>
          <w:iCs/>
          <w:lang w:val="en-ID"/>
        </w:rPr>
        <w:t>halal lifestyle</w:t>
      </w:r>
      <w:r w:rsidRPr="000733C8">
        <w:rPr>
          <w:lang w:val="en-ID"/>
        </w:rPr>
        <w:t xml:space="preserve"> meliputi:</w:t>
      </w:r>
    </w:p>
    <w:p w14:paraId="7953EEA9" w14:textId="77777777" w:rsidR="0098594E" w:rsidRPr="000733C8" w:rsidRDefault="0098594E" w:rsidP="0098594E">
      <w:pPr>
        <w:numPr>
          <w:ilvl w:val="0"/>
          <w:numId w:val="12"/>
        </w:numPr>
        <w:spacing w:after="120" w:line="276" w:lineRule="auto"/>
        <w:jc w:val="both"/>
        <w:rPr>
          <w:lang w:val="en-ID"/>
        </w:rPr>
      </w:pPr>
      <w:r w:rsidRPr="000733C8">
        <w:rPr>
          <w:lang w:val="en-ID"/>
        </w:rPr>
        <w:t xml:space="preserve">Ledakan Pasar Busana Syar'i Kolektif: Berbeda dengan tren </w:t>
      </w:r>
      <w:r w:rsidRPr="000733C8">
        <w:rPr>
          <w:i/>
          <w:iCs/>
          <w:lang w:val="en-ID"/>
        </w:rPr>
        <w:t>Sufi-Chic</w:t>
      </w:r>
      <w:r w:rsidRPr="000733C8">
        <w:rPr>
          <w:lang w:val="en-ID"/>
        </w:rPr>
        <w:t xml:space="preserve"> yang modis, gerakan siber Salafi menetapkan standarisasi pakaian yang sangat ketat di ruang publik </w:t>
      </w:r>
      <w:r w:rsidRPr="000733C8">
        <w:rPr>
          <w:lang w:val="en-ID"/>
        </w:rPr>
        <w:lastRenderedPageBreak/>
        <w:t xml:space="preserve">digital (seperti jilbab besar/khimar pekat, cadar bagi wanita, dan celana di atas mata kaki/tidak </w:t>
      </w:r>
      <w:r w:rsidRPr="000733C8">
        <w:rPr>
          <w:i/>
          <w:iCs/>
          <w:lang w:val="en-ID"/>
        </w:rPr>
        <w:t>isbal</w:t>
      </w:r>
      <w:r w:rsidRPr="000733C8">
        <w:rPr>
          <w:lang w:val="en-ID"/>
        </w:rPr>
        <w:t xml:space="preserve"> bagi pria). Narasi ini berhasil menciptakan segmentasi pasar industri tekstil khusus yang masif, di mana pakaian tidak lagi dinilai dari aspek mode kontemporer, melainkan dari tingkat kepatuhan formal terhadap teks hadis. </w:t>
      </w:r>
    </w:p>
    <w:p w14:paraId="23F7B3B8" w14:textId="77777777" w:rsidR="0098594E" w:rsidRPr="000733C8" w:rsidRDefault="0098594E" w:rsidP="0098594E">
      <w:pPr>
        <w:numPr>
          <w:ilvl w:val="0"/>
          <w:numId w:val="12"/>
        </w:numPr>
        <w:spacing w:after="120" w:line="276" w:lineRule="auto"/>
        <w:jc w:val="both"/>
        <w:rPr>
          <w:lang w:val="en-ID"/>
        </w:rPr>
      </w:pPr>
      <w:r w:rsidRPr="000733C8">
        <w:rPr>
          <w:lang w:val="en-ID"/>
        </w:rPr>
        <w:t xml:space="preserve">Akselerasi Keuangan Syariah dan FinTech Bebas Riba: Salah satu keberhasilan terbesar dari adaptasi siber Salafi adalah penguatan literasi fikih muamalah kontemporer. Kampanye anti-riba yang digaungkan secara radikal melalui infografis dan video pendek di media sosial telah memaksa ratusan ribu kelas menengah muslim urban untuk melakukan migrasi masif dari perbankan konvensional ke perbankan syariah, ekosistem </w:t>
      </w:r>
      <w:r w:rsidRPr="000733C8">
        <w:rPr>
          <w:i/>
          <w:iCs/>
          <w:lang w:val="en-ID"/>
        </w:rPr>
        <w:t>peer-to-peer (P2P) lending</w:t>
      </w:r>
      <w:r w:rsidRPr="000733C8">
        <w:rPr>
          <w:lang w:val="en-ID"/>
        </w:rPr>
        <w:t xml:space="preserve"> syariah, serta instrumen investasi berbasis syariah murni.</w:t>
      </w:r>
    </w:p>
    <w:p w14:paraId="70B66A17" w14:textId="77777777" w:rsidR="0098594E" w:rsidRPr="000733C8" w:rsidRDefault="0098594E" w:rsidP="0098594E">
      <w:pPr>
        <w:numPr>
          <w:ilvl w:val="0"/>
          <w:numId w:val="12"/>
        </w:numPr>
        <w:spacing w:after="120" w:line="276" w:lineRule="auto"/>
        <w:jc w:val="both"/>
        <w:rPr>
          <w:lang w:val="en-ID"/>
        </w:rPr>
      </w:pPr>
      <w:r w:rsidRPr="000733C8">
        <w:rPr>
          <w:lang w:val="en-ID"/>
        </w:rPr>
        <w:t>Sertifikasi Halal Berbasis Komunitas dan Industri Herbal: Di sektor konsumsi, dakwah siber Salafi memicu tingginya tingkat ketelitian konsumen (</w:t>
      </w:r>
      <w:r w:rsidRPr="000733C8">
        <w:rPr>
          <w:i/>
          <w:iCs/>
          <w:lang w:val="en-ID"/>
        </w:rPr>
        <w:t>consumer awareness</w:t>
      </w:r>
      <w:r w:rsidRPr="000733C8">
        <w:rPr>
          <w:lang w:val="en-ID"/>
        </w:rPr>
        <w:t>) terhadap kehalalan produk makanan dan kosmetik. Kelompok ini juga mendorong kebangkitan industri obat-obatan tradisional berbasis sunnah (</w:t>
      </w:r>
      <w:r w:rsidRPr="000733C8">
        <w:rPr>
          <w:i/>
          <w:iCs/>
          <w:lang w:val="en-ID"/>
        </w:rPr>
        <w:t>thibbun nabawi</w:t>
      </w:r>
      <w:r w:rsidRPr="000733C8">
        <w:rPr>
          <w:lang w:val="en-ID"/>
        </w:rPr>
        <w:t>), seperti jintan hitam (habbatussauda), madu murni, dan kurma, yang dipasarkan secara masif melalui jaringan kewirausahaan digital (</w:t>
      </w:r>
      <w:r w:rsidRPr="000733C8">
        <w:rPr>
          <w:i/>
          <w:iCs/>
          <w:lang w:val="en-ID"/>
        </w:rPr>
        <w:t>e-commerce</w:t>
      </w:r>
      <w:r w:rsidRPr="000733C8">
        <w:rPr>
          <w:lang w:val="en-ID"/>
        </w:rPr>
        <w:t xml:space="preserve">) berbasis komunitas. </w:t>
      </w:r>
    </w:p>
    <w:p w14:paraId="4ECB15EF" w14:textId="350942C5" w:rsidR="00DF62E2" w:rsidRPr="000733C8" w:rsidRDefault="0098594E" w:rsidP="0098594E">
      <w:pPr>
        <w:spacing w:after="120" w:line="276" w:lineRule="auto"/>
        <w:ind w:firstLine="567"/>
        <w:jc w:val="both"/>
        <w:rPr>
          <w:lang w:val="en-ID"/>
        </w:rPr>
      </w:pPr>
      <w:r w:rsidRPr="000733C8">
        <w:rPr>
          <w:lang w:val="en-ID"/>
        </w:rPr>
        <w:t xml:space="preserve">Meskipun gerakan Salafi sering kali dicap konservatif dalam isu sosial-politik, di sektor ekonomi perkotaan mereka justru tampil sebagai kekuatan pasar yang sangat terorganisir. Melalui standarisasi muamalah yang ketat dan pemanfaatan jejaring siber, gerakan Salafi telah berhasil mengubah doktrin hukum Islam yang rigid menjadi penggerak utama pertumbuhan ekosistem industri halal yang mandiri dan berdaya saing tinggi di Indonesia. </w:t>
      </w:r>
    </w:p>
    <w:p w14:paraId="7CDF8ABE" w14:textId="36C3081B" w:rsidR="009306DD" w:rsidRPr="00C347E7" w:rsidRDefault="00B2436F" w:rsidP="00CA211C">
      <w:pPr>
        <w:autoSpaceDE w:val="0"/>
        <w:spacing w:line="276" w:lineRule="auto"/>
        <w:rPr>
          <w:rFonts w:ascii="Book Antiqua" w:hAnsi="Book Antiqua"/>
          <w:b/>
          <w:color w:val="000000"/>
          <w:lang w:val="fi-FI"/>
        </w:rPr>
      </w:pPr>
      <w:r w:rsidRPr="00C347E7">
        <w:rPr>
          <w:rFonts w:ascii="Book Antiqua" w:hAnsi="Book Antiqua"/>
          <w:b/>
          <w:color w:val="000000"/>
          <w:lang w:val="id-ID"/>
        </w:rPr>
        <w:t>5</w:t>
      </w:r>
      <w:r w:rsidR="009306DD" w:rsidRPr="00C347E7">
        <w:rPr>
          <w:rFonts w:ascii="Book Antiqua" w:hAnsi="Book Antiqua"/>
          <w:b/>
          <w:color w:val="000000"/>
          <w:lang w:val="fi-FI"/>
        </w:rPr>
        <w:t xml:space="preserve">. </w:t>
      </w:r>
      <w:r w:rsidR="001F2183" w:rsidRPr="00C347E7">
        <w:rPr>
          <w:rFonts w:ascii="Book Antiqua" w:hAnsi="Book Antiqua"/>
          <w:b/>
          <w:color w:val="000000"/>
          <w:lang w:val="fi-FI"/>
        </w:rPr>
        <w:t>Kesimpulan</w:t>
      </w:r>
    </w:p>
    <w:p w14:paraId="2A0401B3" w14:textId="0F7F6212" w:rsidR="003F69A5" w:rsidRPr="003F69A5" w:rsidRDefault="003F69A5" w:rsidP="003F69A5">
      <w:pPr>
        <w:autoSpaceDE w:val="0"/>
        <w:spacing w:line="276" w:lineRule="auto"/>
        <w:ind w:firstLine="567"/>
        <w:jc w:val="both"/>
        <w:rPr>
          <w:lang w:val="en-ID"/>
        </w:rPr>
      </w:pPr>
      <w:r w:rsidRPr="003F69A5">
        <w:rPr>
          <w:lang w:val="fi-FI"/>
        </w:rPr>
        <w:t>R</w:t>
      </w:r>
      <w:r w:rsidRPr="003F69A5">
        <w:rPr>
          <w:lang w:val="fi-FI"/>
        </w:rPr>
        <w:t xml:space="preserve">uang siber telah menjadi arena mediatisasi baru yang mentransformasikan doktrin teologis normatif menjadi modalitas ekonomi yang nyata di wilayah perkotaan. Melalui kacamata sosiologi ekonomi Islam, kutub pemikiran Urban Sufisme dan gerakan Salafi terbukti berhasil mengonsolidasikan kelas menengah muslim urban menjadi aktor pasar yang memiliki karakteristik budaya selera yang distingtif. </w:t>
      </w:r>
      <w:r w:rsidRPr="003F69A5">
        <w:rPr>
          <w:lang w:val="en-ID"/>
        </w:rPr>
        <w:t xml:space="preserve">Urban Sufisme mendominasi pasar melalui komodifikasi estetika spiritual yang inklusif, yang menggerakkan roda industri </w:t>
      </w:r>
      <w:r w:rsidRPr="003F69A5">
        <w:rPr>
          <w:i/>
          <w:iCs/>
          <w:lang w:val="en-ID"/>
        </w:rPr>
        <w:t>modest fashion</w:t>
      </w:r>
      <w:r w:rsidRPr="003F69A5">
        <w:rPr>
          <w:lang w:val="en-ID"/>
        </w:rPr>
        <w:t xml:space="preserve"> adaptif</w:t>
      </w:r>
      <w:r>
        <w:rPr>
          <w:lang w:val="en-ID"/>
        </w:rPr>
        <w:t xml:space="preserve">, </w:t>
      </w:r>
      <w:r w:rsidRPr="003F69A5">
        <w:rPr>
          <w:lang w:val="en-ID"/>
        </w:rPr>
        <w:t xml:space="preserve">literasi </w:t>
      </w:r>
      <w:r w:rsidRPr="003F69A5">
        <w:rPr>
          <w:i/>
          <w:iCs/>
          <w:lang w:val="en-ID"/>
        </w:rPr>
        <w:t>spiritual healing</w:t>
      </w:r>
      <w:r w:rsidRPr="003F69A5">
        <w:rPr>
          <w:lang w:val="en-ID"/>
        </w:rPr>
        <w:t xml:space="preserve">, dan ekosistem </w:t>
      </w:r>
      <w:r w:rsidRPr="003F69A5">
        <w:rPr>
          <w:i/>
          <w:iCs/>
          <w:lang w:val="en-ID"/>
        </w:rPr>
        <w:t>halal tourism</w:t>
      </w:r>
      <w:r w:rsidRPr="003F69A5">
        <w:rPr>
          <w:lang w:val="en-ID"/>
        </w:rPr>
        <w:t xml:space="preserve"> yang mengedepankan ketenangan visual. Sebaliknya, gerakan Salafi tampil sebagai agen penegak standarisasi yang rigid melalui narasi hijrah digital, yang secara masif mengakselerasi migrasi konsumen ke sektor industri busana syar'i formal, sistem keuangan syariah bebas riba, dan jaringan niaga obat tradisional berbasis komunal. Kontestasi wacana keagamaan digital antara aspek esoteris-inklusif dan literalis-puritan pada akhirnya tidak hanya memperebutkan otoritas keagamaan di media sosial, melainkan secara laten menggerakkan roda polarisasi perilaku konsumsi dalam ekosistem industri halal domestik. </w:t>
      </w:r>
    </w:p>
    <w:p w14:paraId="2184B9D7" w14:textId="04BDC791" w:rsidR="00056701" w:rsidRDefault="003F69A5" w:rsidP="008F00B9">
      <w:pPr>
        <w:autoSpaceDE w:val="0"/>
        <w:spacing w:line="276" w:lineRule="auto"/>
        <w:ind w:firstLine="567"/>
        <w:jc w:val="both"/>
        <w:rPr>
          <w:lang w:val="en-ID"/>
        </w:rPr>
      </w:pPr>
      <w:r w:rsidRPr="003F69A5">
        <w:rPr>
          <w:lang w:val="en-ID"/>
        </w:rPr>
        <w:t xml:space="preserve">Implikasi dari penelitian ini secara teoretis memperkaya khazanah sosiologi ekonomi Islam dengan menjembatani keterkaitan antara resiliensi gerakan Islam siber dan struktur kapitalisme industri halal perkotaan. Secara praktis, studi ini memberikan peta jalan strategis bagi para pelaku industri halal dan regulator kebijakan dalam memahami dinamika preferensi konsumen muslim urban yang sangat terfragmentasi berdasarkan afiliasi narasi keagamaan di </w:t>
      </w:r>
      <w:r w:rsidRPr="003F69A5">
        <w:rPr>
          <w:lang w:val="en-ID"/>
        </w:rPr>
        <w:lastRenderedPageBreak/>
        <w:t>ruang digital. Produsen dapat memanfaatkan temuan ini untuk merancang segmentasi pemasaran yang lebih presisi, baik untuk segmen pasar yang berbasis estetika-inklusif maupun segmen yang menuntut kepatuhan teks-formal yang ketat. Namun demikian, penelitian ini memiliki keterbatasan mendasar pada aspek metodologinya yang murni berbasis studi kepustakaan (</w:t>
      </w:r>
      <w:r w:rsidRPr="003F69A5">
        <w:rPr>
          <w:i/>
          <w:iCs/>
          <w:lang w:val="en-ID"/>
        </w:rPr>
        <w:t>library research</w:t>
      </w:r>
      <w:r w:rsidRPr="003F69A5">
        <w:rPr>
          <w:lang w:val="en-ID"/>
        </w:rPr>
        <w:t>) dan analisis tekstual dokumen digital. Ketiadaan data lapangan yang bersifat empiris-kuantitatif, seperti survei perilaku konsumen atau wawancara mendalam dengan para pelaku usaha berbasis komunitas secara langsung, membuat generalisasi peta polarisasi pasar ini masih memerlukan verifikasi lebih lanjut. Oleh karena itu, penelitian masa depan disarankan untuk mengintegrasikan pendekatan netnografi atau metode campuran (</w:t>
      </w:r>
      <w:r w:rsidRPr="003F69A5">
        <w:rPr>
          <w:i/>
          <w:iCs/>
          <w:lang w:val="en-ID"/>
        </w:rPr>
        <w:t>mixed-methods</w:t>
      </w:r>
      <w:r w:rsidRPr="003F69A5">
        <w:rPr>
          <w:lang w:val="en-ID"/>
        </w:rPr>
        <w:t>) guna mengukur volume kapital dan dampak riil kontestasi digital ini terhadap dinamika omzet pelaku UMKM industri halal di lapangan.</w:t>
      </w:r>
    </w:p>
    <w:p w14:paraId="62A969C2" w14:textId="77777777" w:rsidR="008F00B9" w:rsidRPr="008F00B9" w:rsidRDefault="008F00B9" w:rsidP="008F00B9">
      <w:pPr>
        <w:autoSpaceDE w:val="0"/>
        <w:spacing w:line="276" w:lineRule="auto"/>
        <w:ind w:firstLine="567"/>
        <w:jc w:val="both"/>
        <w:rPr>
          <w:lang w:val="en-ID"/>
        </w:rPr>
      </w:pPr>
    </w:p>
    <w:p w14:paraId="5BEBCFBC" w14:textId="2AB534F8" w:rsidR="0099678D" w:rsidRPr="00056701" w:rsidRDefault="00B2436F" w:rsidP="008F00B9">
      <w:pPr>
        <w:autoSpaceDE w:val="0"/>
        <w:spacing w:line="276" w:lineRule="auto"/>
        <w:rPr>
          <w:rFonts w:ascii="Book Antiqua" w:hAnsi="Book Antiqua"/>
          <w:i/>
          <w:iCs/>
          <w:lang w:val="id-ID"/>
        </w:rPr>
      </w:pPr>
      <w:r w:rsidRPr="00C347E7">
        <w:rPr>
          <w:rFonts w:ascii="Book Antiqua" w:hAnsi="Book Antiqua"/>
          <w:b/>
          <w:color w:val="000000"/>
          <w:lang w:val="id-ID"/>
        </w:rPr>
        <w:t xml:space="preserve">Daftar </w:t>
      </w:r>
      <w:r w:rsidR="001F2183" w:rsidRPr="00C347E7">
        <w:rPr>
          <w:rFonts w:ascii="Book Antiqua" w:hAnsi="Book Antiqua"/>
          <w:b/>
          <w:color w:val="000000"/>
          <w:lang w:val="fi-FI"/>
        </w:rPr>
        <w:t>Pustaka</w:t>
      </w:r>
      <w:r w:rsidR="00B00386" w:rsidRPr="00C347E7">
        <w:rPr>
          <w:rFonts w:ascii="Book Antiqua" w:hAnsi="Book Antiqua"/>
          <w:b/>
          <w:color w:val="000000"/>
          <w:lang w:val="fi-FI"/>
        </w:rPr>
        <w:t xml:space="preserve"> </w:t>
      </w:r>
    </w:p>
    <w:p w14:paraId="59CFA753" w14:textId="19A9EF73" w:rsidR="009306DD" w:rsidRPr="00C347E7" w:rsidRDefault="009306DD" w:rsidP="00614CC1">
      <w:pPr>
        <w:spacing w:line="276" w:lineRule="auto"/>
        <w:jc w:val="both"/>
        <w:rPr>
          <w:rFonts w:ascii="Book Antiqua" w:hAnsi="Book Antiqua"/>
        </w:rPr>
      </w:pPr>
      <w:r w:rsidRPr="00C347E7">
        <w:rPr>
          <w:rFonts w:ascii="Book Antiqua" w:hAnsi="Book Antiqua"/>
          <w:b/>
        </w:rPr>
        <w:t>Artikel jurnal:</w:t>
      </w:r>
      <w:r w:rsidR="00D17CFB" w:rsidRPr="00C347E7">
        <w:rPr>
          <w:rFonts w:ascii="Book Antiqua" w:hAnsi="Book Antiqua"/>
          <w:b/>
          <w:lang w:val="id-ID"/>
        </w:rPr>
        <w:t xml:space="preserve"> </w:t>
      </w:r>
    </w:p>
    <w:p w14:paraId="4EB3C0D8" w14:textId="44A454DE"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b/>
          <w:lang w:val="id-ID"/>
        </w:rPr>
        <w:fldChar w:fldCharType="begin" w:fldLock="1"/>
      </w:r>
      <w:r w:rsidRPr="008F00B9">
        <w:rPr>
          <w:b/>
          <w:lang w:val="id-ID"/>
        </w:rPr>
        <w:instrText xml:space="preserve">ADDIN Mendeley Bibliography CSL_BIBLIOGRAPHY </w:instrText>
      </w:r>
      <w:r w:rsidRPr="008F00B9">
        <w:rPr>
          <w:b/>
          <w:lang w:val="id-ID"/>
        </w:rPr>
        <w:fldChar w:fldCharType="separate"/>
      </w:r>
      <w:r w:rsidRPr="008F00B9">
        <w:rPr>
          <w:noProof/>
        </w:rPr>
        <w:t xml:space="preserve">. A., Satria Hamdani, F. F. R., Irwansyah, S., Alifudin, M., Murniati, A., Murniati, A., &amp; In’ami, M. (2023). Puritanism Islam in Indonesia. </w:t>
      </w:r>
      <w:r w:rsidRPr="008F00B9">
        <w:rPr>
          <w:i/>
          <w:iCs/>
          <w:noProof/>
        </w:rPr>
        <w:t>KnE Social Sciences</w:t>
      </w:r>
      <w:r w:rsidRPr="008F00B9">
        <w:rPr>
          <w:noProof/>
        </w:rPr>
        <w:t>. https://doi.org/10.18502/kss.v8i18.14247</w:t>
      </w:r>
    </w:p>
    <w:p w14:paraId="60FA0199"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Achmad, M., Ichsan, M., Fanani, A. W., Nuril, F., Evriza, H., Rahmi, F., &amp; Pahlevi, M. R. (2025). Sistem Hukum Adat Suku Mandar di Sulawesi Barat dalam Mendapatkan Hak dan Kewajiban dalam Struktur Sosial. </w:t>
      </w:r>
      <w:r w:rsidRPr="008F00B9">
        <w:rPr>
          <w:i/>
          <w:iCs/>
          <w:noProof/>
        </w:rPr>
        <w:t>JURNAL PENELITIAN MULTIDISIPLIN BANGSA</w:t>
      </w:r>
      <w:r w:rsidRPr="008F00B9">
        <w:rPr>
          <w:noProof/>
        </w:rPr>
        <w:t xml:space="preserve">, </w:t>
      </w:r>
      <w:r w:rsidRPr="008F00B9">
        <w:rPr>
          <w:i/>
          <w:iCs/>
          <w:noProof/>
        </w:rPr>
        <w:t>1</w:t>
      </w:r>
      <w:r w:rsidRPr="008F00B9">
        <w:rPr>
          <w:noProof/>
        </w:rPr>
        <w:t>(12), 2122–2129. https://doi.org/https://doi.org/10.59837/jpnmb.v1i12.417</w:t>
      </w:r>
    </w:p>
    <w:p w14:paraId="721C3055"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Alam, L., Lahmi, A., Alam, M., Aminah, &amp; Ritonga, M. (2022). the Rise of the Urban Piety Movement: Jamaah Maiyah As an Urban Spiritualism and Emerging Religiosity in the Public Sphere. </w:t>
      </w:r>
      <w:r w:rsidRPr="008F00B9">
        <w:rPr>
          <w:i/>
          <w:iCs/>
          <w:noProof/>
        </w:rPr>
        <w:t>Jurnal Ilmiah Peuradeun</w:t>
      </w:r>
      <w:r w:rsidRPr="008F00B9">
        <w:rPr>
          <w:noProof/>
        </w:rPr>
        <w:t xml:space="preserve">, </w:t>
      </w:r>
      <w:r w:rsidRPr="008F00B9">
        <w:rPr>
          <w:i/>
          <w:iCs/>
          <w:noProof/>
        </w:rPr>
        <w:t>10</w:t>
      </w:r>
      <w:r w:rsidRPr="008F00B9">
        <w:rPr>
          <w:noProof/>
        </w:rPr>
        <w:t>(3), 747–764. https://doi.org/10.26811/peuradeun.v10i3.711</w:t>
      </w:r>
    </w:p>
    <w:p w14:paraId="3E772058"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Aqil, R. S., &amp; Mujib, A. (2022). Intuition in Islamic and Contemporary Psychology. </w:t>
      </w:r>
      <w:r w:rsidRPr="008F00B9">
        <w:rPr>
          <w:i/>
          <w:iCs/>
          <w:noProof/>
        </w:rPr>
        <w:t>Jurnal Indo-Islamika</w:t>
      </w:r>
      <w:r w:rsidRPr="008F00B9">
        <w:rPr>
          <w:noProof/>
        </w:rPr>
        <w:t xml:space="preserve">, </w:t>
      </w:r>
      <w:r w:rsidRPr="008F00B9">
        <w:rPr>
          <w:i/>
          <w:iCs/>
          <w:noProof/>
        </w:rPr>
        <w:t>12</w:t>
      </w:r>
      <w:r w:rsidRPr="008F00B9">
        <w:rPr>
          <w:noProof/>
        </w:rPr>
        <w:t>(1), 12–34. https://doi.org/10.15408/jii.v12i1.24693</w:t>
      </w:r>
    </w:p>
    <w:p w14:paraId="7B20A65C"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Arief, M., &amp; Assya’bani, R. (2023). Eksistensi Manajemen Pesantren di Era Digital. </w:t>
      </w:r>
      <w:r w:rsidRPr="008F00B9">
        <w:rPr>
          <w:i/>
          <w:iCs/>
          <w:noProof/>
        </w:rPr>
        <w:t>Al Qalam: Jurnal Ilmiah Keagamaan Dan Kemasyarakatan</w:t>
      </w:r>
      <w:r w:rsidRPr="008F00B9">
        <w:rPr>
          <w:noProof/>
        </w:rPr>
        <w:t xml:space="preserve">, </w:t>
      </w:r>
      <w:r w:rsidRPr="008F00B9">
        <w:rPr>
          <w:i/>
          <w:iCs/>
          <w:noProof/>
        </w:rPr>
        <w:t>16</w:t>
      </w:r>
      <w:r w:rsidRPr="008F00B9">
        <w:rPr>
          <w:noProof/>
        </w:rPr>
        <w:t>(6), 2548. https://doi.org/10.35931/aq.v16i6.1541</w:t>
      </w:r>
    </w:p>
    <w:p w14:paraId="2E9B01D2"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Arvionita, D., Efendi, E., Wirman, E. P., &amp; Zainal, Z. (2023). Tasawuf Urban dan Tasawuf Perenial dalam Kehidupan Masyarakat Perkotaan. </w:t>
      </w:r>
      <w:r w:rsidRPr="008F00B9">
        <w:rPr>
          <w:i/>
          <w:iCs/>
          <w:noProof/>
        </w:rPr>
        <w:t>Jurnal Pemikiran Islam</w:t>
      </w:r>
      <w:r w:rsidRPr="008F00B9">
        <w:rPr>
          <w:noProof/>
        </w:rPr>
        <w:t xml:space="preserve">, </w:t>
      </w:r>
      <w:r w:rsidRPr="008F00B9">
        <w:rPr>
          <w:i/>
          <w:iCs/>
          <w:noProof/>
        </w:rPr>
        <w:t>3</w:t>
      </w:r>
      <w:r w:rsidRPr="008F00B9">
        <w:rPr>
          <w:noProof/>
        </w:rPr>
        <w:t>(1), 1–13. https://doi.org/10.22373/jpi.v3i1.16368</w:t>
      </w:r>
    </w:p>
    <w:p w14:paraId="0BA1AC6F"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Aziz, T., &amp; Badruzaman, A. (2022). Resolusi Konflik menurut KH. Sholeh Darat: Studi Tafsir Fayḍ al-Raḥmān. </w:t>
      </w:r>
      <w:r w:rsidRPr="008F00B9">
        <w:rPr>
          <w:i/>
          <w:iCs/>
          <w:noProof/>
        </w:rPr>
        <w:t>Qof</w:t>
      </w:r>
      <w:r w:rsidRPr="008F00B9">
        <w:rPr>
          <w:noProof/>
        </w:rPr>
        <w:t xml:space="preserve">, </w:t>
      </w:r>
      <w:r w:rsidRPr="008F00B9">
        <w:rPr>
          <w:i/>
          <w:iCs/>
          <w:noProof/>
        </w:rPr>
        <w:t>6</w:t>
      </w:r>
      <w:r w:rsidRPr="008F00B9">
        <w:rPr>
          <w:noProof/>
        </w:rPr>
        <w:t>(2), 199–218. https://doi.org/10.30762/qof.v6i2.340</w:t>
      </w:r>
    </w:p>
    <w:p w14:paraId="5460DB51"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Hidayat, Z. (2023). Transforming Sufism Into Digital Media. </w:t>
      </w:r>
      <w:r w:rsidRPr="008F00B9">
        <w:rPr>
          <w:i/>
          <w:iCs/>
          <w:noProof/>
        </w:rPr>
        <w:t>Epistemé: Jurnal Pengembangan Ilmu Keislaman</w:t>
      </w:r>
      <w:r w:rsidRPr="008F00B9">
        <w:rPr>
          <w:noProof/>
        </w:rPr>
        <w:t xml:space="preserve">, </w:t>
      </w:r>
      <w:r w:rsidRPr="008F00B9">
        <w:rPr>
          <w:i/>
          <w:iCs/>
          <w:noProof/>
        </w:rPr>
        <w:t>17</w:t>
      </w:r>
      <w:r w:rsidRPr="008F00B9">
        <w:rPr>
          <w:noProof/>
        </w:rPr>
        <w:t>(2), 197–223. https://doi.org/10.21274/epis.2022.17.2.197-223</w:t>
      </w:r>
    </w:p>
    <w:p w14:paraId="22CA86B9"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Husna Rosyadi, M., Fuadi, M. A., Kusairi, L., Safitry, M., &amp; Mahanani, Q. F. I. (2023). KAJIAN HISTORIS TAREKAT QADIRIYAH NAQSYABANDIYAH AL-MANDHURIYAH TEMANGGUNG: Eksistensi dan Pengaruh Sosial Keagamaannya. </w:t>
      </w:r>
      <w:r w:rsidRPr="008F00B9">
        <w:rPr>
          <w:i/>
          <w:iCs/>
          <w:noProof/>
        </w:rPr>
        <w:t>Al-</w:t>
      </w:r>
      <w:r w:rsidRPr="008F00B9">
        <w:rPr>
          <w:i/>
          <w:iCs/>
          <w:noProof/>
        </w:rPr>
        <w:lastRenderedPageBreak/>
        <w:t>Isnad: Journal of Islamic Civilization History and Humanities</w:t>
      </w:r>
      <w:r w:rsidRPr="008F00B9">
        <w:rPr>
          <w:noProof/>
        </w:rPr>
        <w:t xml:space="preserve">, </w:t>
      </w:r>
      <w:r w:rsidRPr="008F00B9">
        <w:rPr>
          <w:i/>
          <w:iCs/>
          <w:noProof/>
        </w:rPr>
        <w:t>4</w:t>
      </w:r>
      <w:r w:rsidRPr="008F00B9">
        <w:rPr>
          <w:noProof/>
        </w:rPr>
        <w:t>(1), 54–76. https://doi.org/10.22515/isnad.v4i1.7428</w:t>
      </w:r>
    </w:p>
    <w:p w14:paraId="4E9F27F2"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Ismarzuqoh,  ‎, Mahfudin Setiawan, A., &amp; Budianto, A. (2024). The Naqsabandiyah Khalidiyah Order: Syaikh Imam Manaqib’s Role in Sufi Preaching in Adiluwih, Pringsewu 1960-1988. </w:t>
      </w:r>
      <w:r w:rsidRPr="008F00B9">
        <w:rPr>
          <w:i/>
          <w:iCs/>
          <w:noProof/>
        </w:rPr>
        <w:t>KnE Social Sciences</w:t>
      </w:r>
      <w:r w:rsidRPr="008F00B9">
        <w:rPr>
          <w:noProof/>
        </w:rPr>
        <w:t>. https://doi.org/10.18502/kss.v9i12.15859</w:t>
      </w:r>
    </w:p>
    <w:p w14:paraId="4ACC465B"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Izberk-Bilgin, E., &amp; Belk, R. W. (2025). Religion in neoliberal times: The global spread of marketization, implications for religion, and future research directions. </w:t>
      </w:r>
      <w:r w:rsidRPr="008F00B9">
        <w:rPr>
          <w:i/>
          <w:iCs/>
          <w:noProof/>
        </w:rPr>
        <w:t>Marketing Theory</w:t>
      </w:r>
      <w:r w:rsidRPr="008F00B9">
        <w:rPr>
          <w:noProof/>
        </w:rPr>
        <w:t xml:space="preserve">, </w:t>
      </w:r>
      <w:r w:rsidRPr="008F00B9">
        <w:rPr>
          <w:i/>
          <w:iCs/>
          <w:noProof/>
        </w:rPr>
        <w:t>25</w:t>
      </w:r>
      <w:r w:rsidRPr="008F00B9">
        <w:rPr>
          <w:noProof/>
        </w:rPr>
        <w:t>(1), 57–76. https://doi.org/10.1177/14705931241261000</w:t>
      </w:r>
    </w:p>
    <w:p w14:paraId="19B3E9ED"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Kartika, Thalib, A., &amp; Amri, M. (2024). Urban Sufisme dan Urban Salafi pada Era Digital. </w:t>
      </w:r>
      <w:r w:rsidRPr="008F00B9">
        <w:rPr>
          <w:i/>
          <w:iCs/>
          <w:noProof/>
        </w:rPr>
        <w:t>Jurnal Alwatzikhoebillah : Kajian Islam, Pendidikan, Ekonomi, Humaniora</w:t>
      </w:r>
      <w:r w:rsidRPr="008F00B9">
        <w:rPr>
          <w:noProof/>
        </w:rPr>
        <w:t xml:space="preserve">, </w:t>
      </w:r>
      <w:r w:rsidRPr="008F00B9">
        <w:rPr>
          <w:i/>
          <w:iCs/>
          <w:noProof/>
        </w:rPr>
        <w:t>10</w:t>
      </w:r>
      <w:r w:rsidRPr="008F00B9">
        <w:rPr>
          <w:noProof/>
        </w:rPr>
        <w:t>(2), 557–567. https://doi.org/10.37567/alwatzikhoebillah.v10i2.3402</w:t>
      </w:r>
    </w:p>
    <w:p w14:paraId="2621ECE9"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Khamim, M. (2022). Sufisme dan Perubahan Sosial: Kaum Tarekat dan Dinamika Sosial Keagamaan. </w:t>
      </w:r>
      <w:r w:rsidRPr="008F00B9">
        <w:rPr>
          <w:i/>
          <w:iCs/>
          <w:noProof/>
        </w:rPr>
        <w:t>Al-Isnad: Journal of Islamic Civilization History and Humanities</w:t>
      </w:r>
      <w:r w:rsidRPr="008F00B9">
        <w:rPr>
          <w:noProof/>
        </w:rPr>
        <w:t xml:space="preserve">, </w:t>
      </w:r>
      <w:r w:rsidRPr="008F00B9">
        <w:rPr>
          <w:i/>
          <w:iCs/>
          <w:noProof/>
        </w:rPr>
        <w:t>2</w:t>
      </w:r>
      <w:r w:rsidRPr="008F00B9">
        <w:rPr>
          <w:noProof/>
        </w:rPr>
        <w:t>(1), 65–82. https://doi.org/10.22515/isnad.v2i1.3579</w:t>
      </w:r>
    </w:p>
    <w:p w14:paraId="7E8A68E1"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Mahbub, M., Fuadi, M. A., &amp; Nasrudin, M. (2022). Traces of Struggle and the Role of Kiai Ahmad Siradj bin Umar Panularan Surakarta, 1878-1961. </w:t>
      </w:r>
      <w:r w:rsidRPr="008F00B9">
        <w:rPr>
          <w:i/>
          <w:iCs/>
          <w:noProof/>
        </w:rPr>
        <w:t>JUSPI (Jurnal Sejarah Peradaban Islam)</w:t>
      </w:r>
      <w:r w:rsidRPr="008F00B9">
        <w:rPr>
          <w:noProof/>
        </w:rPr>
        <w:t xml:space="preserve">, </w:t>
      </w:r>
      <w:r w:rsidRPr="008F00B9">
        <w:rPr>
          <w:i/>
          <w:iCs/>
          <w:noProof/>
        </w:rPr>
        <w:t>6</w:t>
      </w:r>
      <w:r w:rsidRPr="008F00B9">
        <w:rPr>
          <w:noProof/>
        </w:rPr>
        <w:t>(1), 41. https://doi.org/10.30829/juspi.v6i1.12104</w:t>
      </w:r>
    </w:p>
    <w:p w14:paraId="1EE66F75"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Maulana, &amp; Ferdian. (2024). Dialog Antarbudaya dan Dinamika Sosial Kota Multikultural: Studi Kasus Kota Metropolitan di Indonesia. </w:t>
      </w:r>
      <w:r w:rsidRPr="008F00B9">
        <w:rPr>
          <w:i/>
          <w:iCs/>
          <w:noProof/>
        </w:rPr>
        <w:t>SEIKAT: Jurnal Ilmu Sosial, Politik Dan Hukum</w:t>
      </w:r>
      <w:r w:rsidRPr="008F00B9">
        <w:rPr>
          <w:noProof/>
        </w:rPr>
        <w:t xml:space="preserve">, </w:t>
      </w:r>
      <w:r w:rsidRPr="008F00B9">
        <w:rPr>
          <w:i/>
          <w:iCs/>
          <w:noProof/>
        </w:rPr>
        <w:t>3</w:t>
      </w:r>
      <w:r w:rsidRPr="008F00B9">
        <w:rPr>
          <w:noProof/>
        </w:rPr>
        <w:t>(5), 261–267. https://doi.org/10.55681/seikat.v3i5.1581</w:t>
      </w:r>
    </w:p>
    <w:p w14:paraId="094EAEC1"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Mawarni, U. K., Arifi, A., &amp; Fatkhan, M. (2025). Penyebaran Peradaban Islam di Asia Tenggara. </w:t>
      </w:r>
      <w:r w:rsidRPr="008F00B9">
        <w:rPr>
          <w:i/>
          <w:iCs/>
          <w:noProof/>
        </w:rPr>
        <w:t>Edu Cendikia: Jurnal Ilmiah Kependidikan</w:t>
      </w:r>
      <w:r w:rsidRPr="008F00B9">
        <w:rPr>
          <w:noProof/>
        </w:rPr>
        <w:t xml:space="preserve">, </w:t>
      </w:r>
      <w:r w:rsidRPr="008F00B9">
        <w:rPr>
          <w:i/>
          <w:iCs/>
          <w:noProof/>
        </w:rPr>
        <w:t>4</w:t>
      </w:r>
      <w:r w:rsidRPr="008F00B9">
        <w:rPr>
          <w:noProof/>
        </w:rPr>
        <w:t>(03), 1359–1364. https://doi.org/10.47709/educendikia.v4i03.5218</w:t>
      </w:r>
    </w:p>
    <w:p w14:paraId="2A92CE06"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Mir, S. A. (2024). the Doctrine of Sufi Philosophy As a Powerful Antidote To Global Terrorism. </w:t>
      </w:r>
      <w:r w:rsidRPr="008F00B9">
        <w:rPr>
          <w:i/>
          <w:iCs/>
          <w:noProof/>
        </w:rPr>
        <w:t>Kanz Philosophia: A Journal for Islamic Philosophy and Mysticism</w:t>
      </w:r>
      <w:r w:rsidRPr="008F00B9">
        <w:rPr>
          <w:noProof/>
        </w:rPr>
        <w:t xml:space="preserve">, </w:t>
      </w:r>
      <w:r w:rsidRPr="008F00B9">
        <w:rPr>
          <w:i/>
          <w:iCs/>
          <w:noProof/>
        </w:rPr>
        <w:t>10</w:t>
      </w:r>
      <w:r w:rsidRPr="008F00B9">
        <w:rPr>
          <w:noProof/>
        </w:rPr>
        <w:t>(1). https://doi.org/10.20871/kpjipm.v10i1.247</w:t>
      </w:r>
    </w:p>
    <w:p w14:paraId="5CF68096"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Rahman Hakim, B. (2025). Transformation of Sufistic Da’wah and Islamic Psychotherapy Through Online Manaqib: A Qualitative Case Study on Tarekat Qadiriyah Naqsyabandiyah Community in Indonesia. </w:t>
      </w:r>
      <w:r w:rsidRPr="008F00B9">
        <w:rPr>
          <w:i/>
          <w:iCs/>
          <w:noProof/>
        </w:rPr>
        <w:t>G-Couns: Jurnal Bimbingan Dan Konseling</w:t>
      </w:r>
      <w:r w:rsidRPr="008F00B9">
        <w:rPr>
          <w:noProof/>
        </w:rPr>
        <w:t xml:space="preserve">, </w:t>
      </w:r>
      <w:r w:rsidRPr="008F00B9">
        <w:rPr>
          <w:i/>
          <w:iCs/>
          <w:noProof/>
        </w:rPr>
        <w:t>9</w:t>
      </w:r>
      <w:r w:rsidRPr="008F00B9">
        <w:rPr>
          <w:noProof/>
        </w:rPr>
        <w:t>(3), 2278–2291. https://doi.org/10.31316/g-couns.v9i3.7780</w:t>
      </w:r>
    </w:p>
    <w:p w14:paraId="77AFF479"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Rasyad, A., Dienaputra, R. D., Zakaria, M. M., &amp; Mulyadi, R. M. (2023). Tariqa of Hizib Nahdlatul Wathan: Construction of Social Change During the New Order Period in Lombok, Indonesia. </w:t>
      </w:r>
      <w:r w:rsidRPr="008F00B9">
        <w:rPr>
          <w:i/>
          <w:iCs/>
          <w:noProof/>
        </w:rPr>
        <w:t>International Journal of Sustainable Development and Planning</w:t>
      </w:r>
      <w:r w:rsidRPr="008F00B9">
        <w:rPr>
          <w:noProof/>
        </w:rPr>
        <w:t xml:space="preserve">, </w:t>
      </w:r>
      <w:r w:rsidRPr="008F00B9">
        <w:rPr>
          <w:i/>
          <w:iCs/>
          <w:noProof/>
        </w:rPr>
        <w:t>18</w:t>
      </w:r>
      <w:r w:rsidRPr="008F00B9">
        <w:rPr>
          <w:noProof/>
        </w:rPr>
        <w:t>(6), 1963–1972. https://doi.org/10.18280/ijsdp.180633</w:t>
      </w:r>
    </w:p>
    <w:p w14:paraId="3442BB12"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Rifa’i, A. B., Mukarom, Z., &amp; Muhtadi, A. S. (2025). Komodifikasi Agama dalam Wedding Organizer Syariah: Analisis Dinamika Budaya dan Ekonomi. </w:t>
      </w:r>
      <w:r w:rsidRPr="008F00B9">
        <w:rPr>
          <w:i/>
          <w:iCs/>
          <w:noProof/>
        </w:rPr>
        <w:t>JURNAL SYNTAX IMPERATIF: Jurnal Ilmu Sosial Dan Pendidikan</w:t>
      </w:r>
      <w:r w:rsidRPr="008F00B9">
        <w:rPr>
          <w:noProof/>
        </w:rPr>
        <w:t xml:space="preserve">, </w:t>
      </w:r>
      <w:r w:rsidRPr="008F00B9">
        <w:rPr>
          <w:i/>
          <w:iCs/>
          <w:noProof/>
        </w:rPr>
        <w:t>6</w:t>
      </w:r>
      <w:r w:rsidRPr="008F00B9">
        <w:rPr>
          <w:noProof/>
        </w:rPr>
        <w:t>(1), 100–106.</w:t>
      </w:r>
    </w:p>
    <w:p w14:paraId="7F0F77C7"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Santoso, S. (2024). Islamic Leadership: Prophet Muhammad as a Role Model of Charismatic, </w:t>
      </w:r>
      <w:r w:rsidRPr="008F00B9">
        <w:rPr>
          <w:noProof/>
        </w:rPr>
        <w:lastRenderedPageBreak/>
        <w:t xml:space="preserve">Transformational and Servant Leader. </w:t>
      </w:r>
      <w:r w:rsidRPr="008F00B9">
        <w:rPr>
          <w:i/>
          <w:iCs/>
          <w:noProof/>
        </w:rPr>
        <w:t>Jurnal Syntax Transformation</w:t>
      </w:r>
      <w:r w:rsidRPr="008F00B9">
        <w:rPr>
          <w:noProof/>
        </w:rPr>
        <w:t xml:space="preserve">, </w:t>
      </w:r>
      <w:r w:rsidRPr="008F00B9">
        <w:rPr>
          <w:i/>
          <w:iCs/>
          <w:noProof/>
        </w:rPr>
        <w:t>5</w:t>
      </w:r>
      <w:r w:rsidRPr="008F00B9">
        <w:rPr>
          <w:noProof/>
        </w:rPr>
        <w:t>(7), 970–977. https://doi.org/10.46799/jst.v5i7.980</w:t>
      </w:r>
    </w:p>
    <w:p w14:paraId="0F73101F"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Waheed, U., Junejo, S., &amp; Numan, M. (2024). Examining Sufi Practices on Social Media: Distortions and Complexities in Contemporary Pakistan. </w:t>
      </w:r>
      <w:r w:rsidRPr="008F00B9">
        <w:rPr>
          <w:i/>
          <w:iCs/>
          <w:noProof/>
        </w:rPr>
        <w:t>Jurnal Sosiologi Reflektif</w:t>
      </w:r>
      <w:r w:rsidRPr="008F00B9">
        <w:rPr>
          <w:noProof/>
        </w:rPr>
        <w:t xml:space="preserve">, </w:t>
      </w:r>
      <w:r w:rsidRPr="008F00B9">
        <w:rPr>
          <w:i/>
          <w:iCs/>
          <w:noProof/>
        </w:rPr>
        <w:t>18</w:t>
      </w:r>
      <w:r w:rsidRPr="008F00B9">
        <w:rPr>
          <w:noProof/>
        </w:rPr>
        <w:t>(2). https://doi.org/10.14421/522e5653</w:t>
      </w:r>
    </w:p>
    <w:p w14:paraId="4C3E2E6E"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Wahid, A., &amp; Maskhuroh, L. (2023). Tasawuf Dalam Era Digital. </w:t>
      </w:r>
      <w:r w:rsidRPr="008F00B9">
        <w:rPr>
          <w:i/>
          <w:iCs/>
          <w:noProof/>
        </w:rPr>
        <w:t>ILJ: Islamic Learning Journal</w:t>
      </w:r>
      <w:r w:rsidRPr="008F00B9">
        <w:rPr>
          <w:noProof/>
        </w:rPr>
        <w:t xml:space="preserve">, </w:t>
      </w:r>
      <w:r w:rsidRPr="008F00B9">
        <w:rPr>
          <w:i/>
          <w:iCs/>
          <w:noProof/>
        </w:rPr>
        <w:t>2</w:t>
      </w:r>
      <w:r w:rsidRPr="008F00B9">
        <w:rPr>
          <w:noProof/>
        </w:rPr>
        <w:t>(1), 55–73. https://doi.org/10.54437/iljjislamiclearningjournal.v2i1.1209</w:t>
      </w:r>
    </w:p>
    <w:p w14:paraId="08882282" w14:textId="77777777" w:rsidR="00FA5B27" w:rsidRPr="008F00B9" w:rsidRDefault="00FA5B27" w:rsidP="008F00B9">
      <w:pPr>
        <w:widowControl w:val="0"/>
        <w:autoSpaceDE w:val="0"/>
        <w:autoSpaceDN w:val="0"/>
        <w:adjustRightInd w:val="0"/>
        <w:spacing w:after="120" w:line="276" w:lineRule="auto"/>
        <w:ind w:left="480" w:hanging="480"/>
        <w:jc w:val="both"/>
        <w:rPr>
          <w:noProof/>
        </w:rPr>
      </w:pPr>
      <w:r w:rsidRPr="008F00B9">
        <w:rPr>
          <w:noProof/>
        </w:rPr>
        <w:t xml:space="preserve">Yuliani, N. M. (2026). Relasi Agama dan Media Digital Transformasi Otoritas Keagamaan di Era Komunikasi Virtual. </w:t>
      </w:r>
      <w:r w:rsidRPr="008F00B9">
        <w:rPr>
          <w:i/>
          <w:iCs/>
          <w:noProof/>
        </w:rPr>
        <w:t>Jurnal Penelitian Agama Hindu</w:t>
      </w:r>
      <w:r w:rsidRPr="008F00B9">
        <w:rPr>
          <w:noProof/>
        </w:rPr>
        <w:t xml:space="preserve">, </w:t>
      </w:r>
      <w:r w:rsidRPr="008F00B9">
        <w:rPr>
          <w:i/>
          <w:iCs/>
          <w:noProof/>
        </w:rPr>
        <w:t>10</w:t>
      </w:r>
      <w:r w:rsidRPr="008F00B9">
        <w:rPr>
          <w:noProof/>
        </w:rPr>
        <w:t>(1), 104–116. https://doi.org/10.37329/jpah.v10i1.4942</w:t>
      </w:r>
    </w:p>
    <w:p w14:paraId="0E52F705" w14:textId="07578C0C" w:rsidR="00D262D9" w:rsidRPr="008F00B9" w:rsidRDefault="00FA5B27" w:rsidP="008F00B9">
      <w:pPr>
        <w:spacing w:after="120" w:line="276" w:lineRule="auto"/>
        <w:ind w:left="720"/>
        <w:jc w:val="both"/>
        <w:rPr>
          <w:b/>
          <w:lang w:val="id-ID"/>
        </w:rPr>
      </w:pPr>
      <w:r w:rsidRPr="008F00B9">
        <w:rPr>
          <w:b/>
          <w:lang w:val="id-ID"/>
        </w:rPr>
        <w:fldChar w:fldCharType="end"/>
      </w:r>
    </w:p>
    <w:sectPr w:rsidR="00D262D9" w:rsidRPr="008F00B9" w:rsidSect="00730F85">
      <w:headerReference w:type="even" r:id="rId16"/>
      <w:footerReference w:type="default" r:id="rId17"/>
      <w:footnotePr>
        <w:pos w:val="beneathText"/>
      </w:footnotePr>
      <w:type w:val="continuous"/>
      <w:pgSz w:w="11905" w:h="16837" w:code="9"/>
      <w:pgMar w:top="1701" w:right="1418" w:bottom="1418" w:left="1418" w:header="720" w:footer="720"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05273" w14:textId="77777777" w:rsidR="005139BE" w:rsidRDefault="005139BE" w:rsidP="007B0B47">
      <w:r>
        <w:separator/>
      </w:r>
    </w:p>
  </w:endnote>
  <w:endnote w:type="continuationSeparator" w:id="0">
    <w:p w14:paraId="0D43470B" w14:textId="77777777" w:rsidR="005139BE" w:rsidRDefault="005139BE" w:rsidP="007B0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font>
  <w:font w:name="HAMEHF+TimesNewRoman">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4538" w14:textId="0231A2E5" w:rsidR="00914CFC" w:rsidRPr="00C347E7" w:rsidRDefault="00C01063" w:rsidP="00914CFC">
    <w:pPr>
      <w:pStyle w:val="Footer"/>
      <w:jc w:val="right"/>
      <w:rPr>
        <w:rFonts w:ascii="Book Antiqua" w:hAnsi="Book Antiqua"/>
        <w:i/>
        <w:iCs/>
      </w:rPr>
    </w:pPr>
    <w:r>
      <w:rPr>
        <w:rFonts w:ascii="Book Antiqua" w:hAnsi="Book Antiqua"/>
        <w:i/>
        <w:iCs/>
      </w:rPr>
      <w:t>Muh Tabran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A144B" w14:textId="77777777" w:rsidR="005139BE" w:rsidRDefault="005139BE" w:rsidP="007B0B47">
      <w:r>
        <w:separator/>
      </w:r>
    </w:p>
  </w:footnote>
  <w:footnote w:type="continuationSeparator" w:id="0">
    <w:p w14:paraId="2D3F0A99" w14:textId="77777777" w:rsidR="005139BE" w:rsidRDefault="005139BE" w:rsidP="007B0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F62C" w14:textId="77777777" w:rsidR="00640699" w:rsidRDefault="00640699" w:rsidP="007D4827">
    <w:pPr>
      <w:pStyle w:val="Header"/>
      <w:jc w:val="right"/>
    </w:pPr>
    <w:r w:rsidRPr="002F0DA5">
      <w:rPr>
        <w:sz w:val="20"/>
        <w:szCs w:val="20"/>
      </w:rPr>
      <w:fldChar w:fldCharType="begin"/>
    </w:r>
    <w:r w:rsidRPr="002F0DA5">
      <w:rPr>
        <w:sz w:val="20"/>
        <w:szCs w:val="20"/>
      </w:rPr>
      <w:instrText xml:space="preserve"> PAGE   \* MERGEFORMAT </w:instrText>
    </w:r>
    <w:r w:rsidRPr="002F0DA5">
      <w:rPr>
        <w:sz w:val="20"/>
        <w:szCs w:val="20"/>
      </w:rPr>
      <w:fldChar w:fldCharType="separate"/>
    </w:r>
    <w:r w:rsidR="00554A0A">
      <w:rPr>
        <w:noProof/>
        <w:sz w:val="20"/>
        <w:szCs w:val="20"/>
      </w:rPr>
      <w:t>4</w:t>
    </w:r>
    <w:r w:rsidRPr="002F0DA5">
      <w:rPr>
        <w:sz w:val="20"/>
        <w:szCs w:val="20"/>
      </w:rPr>
      <w:fldChar w:fldCharType="end"/>
    </w:r>
    <w:r>
      <w:t xml:space="preserve">                      </w:t>
    </w:r>
    <w:r w:rsidR="007D4827">
      <w:rPr>
        <w:rFonts w:ascii="Cambria" w:hAnsi="Cambria"/>
        <w:sz w:val="18"/>
        <w:szCs w:val="18"/>
      </w:rPr>
      <w:t xml:space="preserve">Journal of Islamic </w:t>
    </w:r>
    <w:r>
      <w:rPr>
        <w:rFonts w:ascii="Cambria" w:hAnsi="Cambria"/>
        <w:sz w:val="18"/>
        <w:szCs w:val="18"/>
      </w:rPr>
      <w:t>Ekonomi</w:t>
    </w:r>
    <w:r w:rsidR="007D4827">
      <w:rPr>
        <w:rFonts w:ascii="Cambria" w:hAnsi="Cambria"/>
        <w:sz w:val="18"/>
        <w:szCs w:val="18"/>
      </w:rPr>
      <w:t>cs</w:t>
    </w:r>
    <w:r>
      <w:rPr>
        <w:rFonts w:ascii="Cambria" w:hAnsi="Cambria"/>
        <w:sz w:val="18"/>
        <w:szCs w:val="18"/>
      </w:rPr>
      <w:t xml:space="preserve"> </w:t>
    </w:r>
    <w:r w:rsidR="007D4827">
      <w:rPr>
        <w:rFonts w:ascii="Cambria" w:hAnsi="Cambria"/>
        <w:sz w:val="18"/>
        <w:szCs w:val="18"/>
      </w:rPr>
      <w:t>and</w:t>
    </w:r>
    <w:r w:rsidRPr="009C440F">
      <w:rPr>
        <w:rFonts w:ascii="Cambria" w:hAnsi="Cambria"/>
        <w:sz w:val="18"/>
        <w:szCs w:val="18"/>
      </w:rPr>
      <w:t xml:space="preserve"> B</w:t>
    </w:r>
    <w:r w:rsidR="007D4827">
      <w:rPr>
        <w:rFonts w:ascii="Cambria" w:hAnsi="Cambria"/>
        <w:sz w:val="18"/>
        <w:szCs w:val="18"/>
      </w:rPr>
      <w:t>usiness</w:t>
    </w:r>
    <w:r w:rsidRPr="00284589">
      <w:rPr>
        <w:rFonts w:ascii="Cambria" w:hAnsi="Cambria"/>
        <w:color w:val="000000"/>
        <w:sz w:val="18"/>
        <w:szCs w:val="18"/>
      </w:rPr>
      <w:t xml:space="preserve">    </w:t>
    </w:r>
  </w:p>
  <w:p w14:paraId="3BF2EF5E" w14:textId="77777777" w:rsidR="00640699" w:rsidRDefault="00640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5E7F65"/>
    <w:multiLevelType w:val="multilevel"/>
    <w:tmpl w:val="1F0A1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22EAC"/>
    <w:multiLevelType w:val="hybridMultilevel"/>
    <w:tmpl w:val="92648834"/>
    <w:lvl w:ilvl="0" w:tplc="CD9C732E">
      <w:start w:val="1"/>
      <w:numFmt w:val="lowerLetter"/>
      <w:lvlText w:val="%1."/>
      <w:lvlJc w:val="left"/>
      <w:pPr>
        <w:ind w:left="360" w:hanging="360"/>
      </w:pPr>
      <w:rPr>
        <w:rFonts w:ascii="Times New Roman" w:eastAsia="Times New Roman" w:hAnsi="Times New Roman"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366A3900"/>
    <w:multiLevelType w:val="hybridMultilevel"/>
    <w:tmpl w:val="985810A4"/>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37A86C7C"/>
    <w:multiLevelType w:val="multilevel"/>
    <w:tmpl w:val="8C7E58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D6540A"/>
    <w:multiLevelType w:val="multilevel"/>
    <w:tmpl w:val="BF907816"/>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016E7A"/>
    <w:multiLevelType w:val="hybridMultilevel"/>
    <w:tmpl w:val="1F161A8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4C29FC"/>
    <w:multiLevelType w:val="hybridMultilevel"/>
    <w:tmpl w:val="0E9CEBA2"/>
    <w:lvl w:ilvl="0" w:tplc="07CEBE2C">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9" w15:restartNumberingAfterBreak="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FB626E"/>
    <w:multiLevelType w:val="hybridMultilevel"/>
    <w:tmpl w:val="ED382122"/>
    <w:lvl w:ilvl="0" w:tplc="EBE8DFEC">
      <w:start w:val="1"/>
      <w:numFmt w:val="bullet"/>
      <w:lvlText w:val=""/>
      <w:lvlJc w:val="left"/>
      <w:pPr>
        <w:ind w:left="559" w:hanging="360"/>
      </w:pPr>
      <w:rPr>
        <w:rFonts w:ascii="Symbol" w:eastAsia="Times New Roman" w:hAnsi="Symbol" w:cs="Times New Roman" w:hint="default"/>
      </w:rPr>
    </w:lvl>
    <w:lvl w:ilvl="1" w:tplc="04090003" w:tentative="1">
      <w:start w:val="1"/>
      <w:numFmt w:val="bullet"/>
      <w:lvlText w:val="o"/>
      <w:lvlJc w:val="left"/>
      <w:pPr>
        <w:ind w:left="1279" w:hanging="360"/>
      </w:pPr>
      <w:rPr>
        <w:rFonts w:ascii="Courier New" w:hAnsi="Courier New" w:cs="Courier New" w:hint="default"/>
      </w:rPr>
    </w:lvl>
    <w:lvl w:ilvl="2" w:tplc="04090005" w:tentative="1">
      <w:start w:val="1"/>
      <w:numFmt w:val="bullet"/>
      <w:lvlText w:val=""/>
      <w:lvlJc w:val="left"/>
      <w:pPr>
        <w:ind w:left="1999" w:hanging="360"/>
      </w:pPr>
      <w:rPr>
        <w:rFonts w:ascii="Wingdings" w:hAnsi="Wingdings" w:hint="default"/>
      </w:rPr>
    </w:lvl>
    <w:lvl w:ilvl="3" w:tplc="04090001" w:tentative="1">
      <w:start w:val="1"/>
      <w:numFmt w:val="bullet"/>
      <w:lvlText w:val=""/>
      <w:lvlJc w:val="left"/>
      <w:pPr>
        <w:ind w:left="2719" w:hanging="360"/>
      </w:pPr>
      <w:rPr>
        <w:rFonts w:ascii="Symbol" w:hAnsi="Symbol" w:hint="default"/>
      </w:rPr>
    </w:lvl>
    <w:lvl w:ilvl="4" w:tplc="04090003" w:tentative="1">
      <w:start w:val="1"/>
      <w:numFmt w:val="bullet"/>
      <w:lvlText w:val="o"/>
      <w:lvlJc w:val="left"/>
      <w:pPr>
        <w:ind w:left="3439" w:hanging="360"/>
      </w:pPr>
      <w:rPr>
        <w:rFonts w:ascii="Courier New" w:hAnsi="Courier New" w:cs="Courier New" w:hint="default"/>
      </w:rPr>
    </w:lvl>
    <w:lvl w:ilvl="5" w:tplc="04090005" w:tentative="1">
      <w:start w:val="1"/>
      <w:numFmt w:val="bullet"/>
      <w:lvlText w:val=""/>
      <w:lvlJc w:val="left"/>
      <w:pPr>
        <w:ind w:left="4159" w:hanging="360"/>
      </w:pPr>
      <w:rPr>
        <w:rFonts w:ascii="Wingdings" w:hAnsi="Wingdings" w:hint="default"/>
      </w:rPr>
    </w:lvl>
    <w:lvl w:ilvl="6" w:tplc="04090001" w:tentative="1">
      <w:start w:val="1"/>
      <w:numFmt w:val="bullet"/>
      <w:lvlText w:val=""/>
      <w:lvlJc w:val="left"/>
      <w:pPr>
        <w:ind w:left="4879" w:hanging="360"/>
      </w:pPr>
      <w:rPr>
        <w:rFonts w:ascii="Symbol" w:hAnsi="Symbol" w:hint="default"/>
      </w:rPr>
    </w:lvl>
    <w:lvl w:ilvl="7" w:tplc="04090003" w:tentative="1">
      <w:start w:val="1"/>
      <w:numFmt w:val="bullet"/>
      <w:lvlText w:val="o"/>
      <w:lvlJc w:val="left"/>
      <w:pPr>
        <w:ind w:left="5599" w:hanging="360"/>
      </w:pPr>
      <w:rPr>
        <w:rFonts w:ascii="Courier New" w:hAnsi="Courier New" w:cs="Courier New" w:hint="default"/>
      </w:rPr>
    </w:lvl>
    <w:lvl w:ilvl="8" w:tplc="04090005" w:tentative="1">
      <w:start w:val="1"/>
      <w:numFmt w:val="bullet"/>
      <w:lvlText w:val=""/>
      <w:lvlJc w:val="left"/>
      <w:pPr>
        <w:ind w:left="6319" w:hanging="360"/>
      </w:pPr>
      <w:rPr>
        <w:rFonts w:ascii="Wingdings" w:hAnsi="Wingdings" w:hint="default"/>
      </w:rPr>
    </w:lvl>
  </w:abstractNum>
  <w:abstractNum w:abstractNumId="11" w15:restartNumberingAfterBreak="0">
    <w:nsid w:val="7AAF6450"/>
    <w:multiLevelType w:val="multilevel"/>
    <w:tmpl w:val="DC54179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1808689">
    <w:abstractNumId w:val="9"/>
  </w:num>
  <w:num w:numId="2" w16cid:durableId="1004168623">
    <w:abstractNumId w:val="7"/>
  </w:num>
  <w:num w:numId="3" w16cid:durableId="864565150">
    <w:abstractNumId w:val="12"/>
  </w:num>
  <w:num w:numId="4" w16cid:durableId="672995690">
    <w:abstractNumId w:val="0"/>
  </w:num>
  <w:num w:numId="5" w16cid:durableId="72897529">
    <w:abstractNumId w:val="10"/>
  </w:num>
  <w:num w:numId="6" w16cid:durableId="2041004494">
    <w:abstractNumId w:val="6"/>
  </w:num>
  <w:num w:numId="7" w16cid:durableId="376510856">
    <w:abstractNumId w:val="3"/>
  </w:num>
  <w:num w:numId="8" w16cid:durableId="1936353451">
    <w:abstractNumId w:val="4"/>
  </w:num>
  <w:num w:numId="9" w16cid:durableId="135880603">
    <w:abstractNumId w:val="8"/>
  </w:num>
  <w:num w:numId="10" w16cid:durableId="1330674879">
    <w:abstractNumId w:val="2"/>
  </w:num>
  <w:num w:numId="11" w16cid:durableId="405347419">
    <w:abstractNumId w:val="5"/>
  </w:num>
  <w:num w:numId="12" w16cid:durableId="1957523797">
    <w:abstractNumId w:val="11"/>
  </w:num>
  <w:num w:numId="13" w16cid:durableId="734200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drawingGridHorizontalSpacing w:val="120"/>
  <w:drawingGridVerticalSpacing w:val="0"/>
  <w:displayHorizontalDrawingGridEvery w:val="0"/>
  <w:displayVerticalDrawingGridEvery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E0D"/>
    <w:rsid w:val="00015DB2"/>
    <w:rsid w:val="00020651"/>
    <w:rsid w:val="00023603"/>
    <w:rsid w:val="0002378E"/>
    <w:rsid w:val="0002737D"/>
    <w:rsid w:val="00033502"/>
    <w:rsid w:val="0005136F"/>
    <w:rsid w:val="00051ACC"/>
    <w:rsid w:val="00056701"/>
    <w:rsid w:val="000709E5"/>
    <w:rsid w:val="00072AC1"/>
    <w:rsid w:val="000733C8"/>
    <w:rsid w:val="00083D9C"/>
    <w:rsid w:val="00092AF3"/>
    <w:rsid w:val="00094C95"/>
    <w:rsid w:val="000A1758"/>
    <w:rsid w:val="000B389A"/>
    <w:rsid w:val="000B6BAD"/>
    <w:rsid w:val="000C693C"/>
    <w:rsid w:val="000D603A"/>
    <w:rsid w:val="000E0895"/>
    <w:rsid w:val="000F5B68"/>
    <w:rsid w:val="000F5D55"/>
    <w:rsid w:val="00111E04"/>
    <w:rsid w:val="00151260"/>
    <w:rsid w:val="0015583E"/>
    <w:rsid w:val="00155979"/>
    <w:rsid w:val="0018356A"/>
    <w:rsid w:val="0019048B"/>
    <w:rsid w:val="00197EF7"/>
    <w:rsid w:val="001A0E7D"/>
    <w:rsid w:val="001C1837"/>
    <w:rsid w:val="001C475A"/>
    <w:rsid w:val="001C5195"/>
    <w:rsid w:val="001C5B0C"/>
    <w:rsid w:val="001C78AA"/>
    <w:rsid w:val="001F13E5"/>
    <w:rsid w:val="001F2183"/>
    <w:rsid w:val="001F57F3"/>
    <w:rsid w:val="00203BEC"/>
    <w:rsid w:val="002115BD"/>
    <w:rsid w:val="00226C66"/>
    <w:rsid w:val="00245765"/>
    <w:rsid w:val="002505A7"/>
    <w:rsid w:val="00253C87"/>
    <w:rsid w:val="0026385F"/>
    <w:rsid w:val="002764B1"/>
    <w:rsid w:val="00280D7B"/>
    <w:rsid w:val="00291F4E"/>
    <w:rsid w:val="002A3D75"/>
    <w:rsid w:val="002A7F5F"/>
    <w:rsid w:val="002B16BC"/>
    <w:rsid w:val="002B71F5"/>
    <w:rsid w:val="002C2875"/>
    <w:rsid w:val="002D5B6C"/>
    <w:rsid w:val="002F0DA5"/>
    <w:rsid w:val="002F4A50"/>
    <w:rsid w:val="003241FA"/>
    <w:rsid w:val="0032609A"/>
    <w:rsid w:val="003429C1"/>
    <w:rsid w:val="00350DF2"/>
    <w:rsid w:val="00354E78"/>
    <w:rsid w:val="00370242"/>
    <w:rsid w:val="00394299"/>
    <w:rsid w:val="00394F7A"/>
    <w:rsid w:val="00397CE7"/>
    <w:rsid w:val="003B3BA1"/>
    <w:rsid w:val="003C2834"/>
    <w:rsid w:val="003D4E3D"/>
    <w:rsid w:val="003F0AB8"/>
    <w:rsid w:val="003F3413"/>
    <w:rsid w:val="003F653B"/>
    <w:rsid w:val="003F69A5"/>
    <w:rsid w:val="00412EC2"/>
    <w:rsid w:val="00430700"/>
    <w:rsid w:val="00440FD7"/>
    <w:rsid w:val="00441C0F"/>
    <w:rsid w:val="00441C74"/>
    <w:rsid w:val="00450469"/>
    <w:rsid w:val="00462508"/>
    <w:rsid w:val="00484694"/>
    <w:rsid w:val="00485CEC"/>
    <w:rsid w:val="004879D2"/>
    <w:rsid w:val="004A7031"/>
    <w:rsid w:val="004D6749"/>
    <w:rsid w:val="004E39BE"/>
    <w:rsid w:val="004F5791"/>
    <w:rsid w:val="005074BE"/>
    <w:rsid w:val="00507636"/>
    <w:rsid w:val="005139BE"/>
    <w:rsid w:val="005269F3"/>
    <w:rsid w:val="00531839"/>
    <w:rsid w:val="005374DA"/>
    <w:rsid w:val="00543912"/>
    <w:rsid w:val="00554A0A"/>
    <w:rsid w:val="0056012F"/>
    <w:rsid w:val="00561109"/>
    <w:rsid w:val="00561EF4"/>
    <w:rsid w:val="005A2C8C"/>
    <w:rsid w:val="005C0085"/>
    <w:rsid w:val="005C313A"/>
    <w:rsid w:val="005C4D03"/>
    <w:rsid w:val="005C727E"/>
    <w:rsid w:val="005D0F0C"/>
    <w:rsid w:val="005E154F"/>
    <w:rsid w:val="006069E5"/>
    <w:rsid w:val="00614CC1"/>
    <w:rsid w:val="00615E0F"/>
    <w:rsid w:val="00640699"/>
    <w:rsid w:val="00653566"/>
    <w:rsid w:val="00674D15"/>
    <w:rsid w:val="00680A58"/>
    <w:rsid w:val="00693F9E"/>
    <w:rsid w:val="006B0377"/>
    <w:rsid w:val="006B74EA"/>
    <w:rsid w:val="006C358F"/>
    <w:rsid w:val="006E165A"/>
    <w:rsid w:val="006E1BC7"/>
    <w:rsid w:val="00700A01"/>
    <w:rsid w:val="00704C31"/>
    <w:rsid w:val="00714443"/>
    <w:rsid w:val="00730F85"/>
    <w:rsid w:val="0074452A"/>
    <w:rsid w:val="00744A1F"/>
    <w:rsid w:val="007473C7"/>
    <w:rsid w:val="007503BB"/>
    <w:rsid w:val="00751771"/>
    <w:rsid w:val="00762761"/>
    <w:rsid w:val="007709E2"/>
    <w:rsid w:val="007840C3"/>
    <w:rsid w:val="00792C87"/>
    <w:rsid w:val="0079362F"/>
    <w:rsid w:val="007A1352"/>
    <w:rsid w:val="007A1F93"/>
    <w:rsid w:val="007A6624"/>
    <w:rsid w:val="007A6B71"/>
    <w:rsid w:val="007B0B47"/>
    <w:rsid w:val="007B0FDC"/>
    <w:rsid w:val="007B76F0"/>
    <w:rsid w:val="007C1475"/>
    <w:rsid w:val="007C23A4"/>
    <w:rsid w:val="007D4827"/>
    <w:rsid w:val="007E14BA"/>
    <w:rsid w:val="007F60EF"/>
    <w:rsid w:val="00806E05"/>
    <w:rsid w:val="00813496"/>
    <w:rsid w:val="008246C5"/>
    <w:rsid w:val="00825F3E"/>
    <w:rsid w:val="008372E5"/>
    <w:rsid w:val="00850C56"/>
    <w:rsid w:val="00855415"/>
    <w:rsid w:val="008608EE"/>
    <w:rsid w:val="00876ECA"/>
    <w:rsid w:val="00880296"/>
    <w:rsid w:val="0088097C"/>
    <w:rsid w:val="00880C9A"/>
    <w:rsid w:val="008960D3"/>
    <w:rsid w:val="008B2AFC"/>
    <w:rsid w:val="008D0236"/>
    <w:rsid w:val="008D5FC9"/>
    <w:rsid w:val="008E3382"/>
    <w:rsid w:val="008E5A64"/>
    <w:rsid w:val="008E5E38"/>
    <w:rsid w:val="008F00B9"/>
    <w:rsid w:val="008F1AF7"/>
    <w:rsid w:val="008F3351"/>
    <w:rsid w:val="008F674D"/>
    <w:rsid w:val="009035B2"/>
    <w:rsid w:val="009074E0"/>
    <w:rsid w:val="00910F6C"/>
    <w:rsid w:val="00914CFC"/>
    <w:rsid w:val="00922853"/>
    <w:rsid w:val="00925910"/>
    <w:rsid w:val="009306DD"/>
    <w:rsid w:val="00933B74"/>
    <w:rsid w:val="00936735"/>
    <w:rsid w:val="00943898"/>
    <w:rsid w:val="00944405"/>
    <w:rsid w:val="00957E53"/>
    <w:rsid w:val="00960868"/>
    <w:rsid w:val="009667BA"/>
    <w:rsid w:val="00972AA3"/>
    <w:rsid w:val="00975B71"/>
    <w:rsid w:val="009811EB"/>
    <w:rsid w:val="0098594E"/>
    <w:rsid w:val="009919E8"/>
    <w:rsid w:val="0099678D"/>
    <w:rsid w:val="009A015B"/>
    <w:rsid w:val="009D07F5"/>
    <w:rsid w:val="009E1817"/>
    <w:rsid w:val="009F5B0C"/>
    <w:rsid w:val="009F6FDA"/>
    <w:rsid w:val="00A1253F"/>
    <w:rsid w:val="00A36DC7"/>
    <w:rsid w:val="00A6431C"/>
    <w:rsid w:val="00A66ADC"/>
    <w:rsid w:val="00A72A15"/>
    <w:rsid w:val="00A86325"/>
    <w:rsid w:val="00AA2F26"/>
    <w:rsid w:val="00AA756F"/>
    <w:rsid w:val="00AB15A5"/>
    <w:rsid w:val="00AC012B"/>
    <w:rsid w:val="00AD73F8"/>
    <w:rsid w:val="00AE2858"/>
    <w:rsid w:val="00AE6C62"/>
    <w:rsid w:val="00AF774F"/>
    <w:rsid w:val="00B00386"/>
    <w:rsid w:val="00B05EBA"/>
    <w:rsid w:val="00B066C2"/>
    <w:rsid w:val="00B1752F"/>
    <w:rsid w:val="00B20DBC"/>
    <w:rsid w:val="00B2436F"/>
    <w:rsid w:val="00B31357"/>
    <w:rsid w:val="00B346B4"/>
    <w:rsid w:val="00B410A9"/>
    <w:rsid w:val="00B46234"/>
    <w:rsid w:val="00B66F11"/>
    <w:rsid w:val="00B812CF"/>
    <w:rsid w:val="00B96AC8"/>
    <w:rsid w:val="00BA0DF0"/>
    <w:rsid w:val="00BB3503"/>
    <w:rsid w:val="00BB3E5A"/>
    <w:rsid w:val="00BD0B8B"/>
    <w:rsid w:val="00BD4D72"/>
    <w:rsid w:val="00BD5AA2"/>
    <w:rsid w:val="00BF4AE7"/>
    <w:rsid w:val="00C01063"/>
    <w:rsid w:val="00C17D8C"/>
    <w:rsid w:val="00C26048"/>
    <w:rsid w:val="00C347E7"/>
    <w:rsid w:val="00C347F5"/>
    <w:rsid w:val="00C7739C"/>
    <w:rsid w:val="00C90856"/>
    <w:rsid w:val="00CA211C"/>
    <w:rsid w:val="00CC4EAD"/>
    <w:rsid w:val="00CC7464"/>
    <w:rsid w:val="00CD5257"/>
    <w:rsid w:val="00CD7FAC"/>
    <w:rsid w:val="00CE4416"/>
    <w:rsid w:val="00CF5285"/>
    <w:rsid w:val="00D17CFB"/>
    <w:rsid w:val="00D262D9"/>
    <w:rsid w:val="00D373AE"/>
    <w:rsid w:val="00D408EF"/>
    <w:rsid w:val="00D41AE6"/>
    <w:rsid w:val="00D55B36"/>
    <w:rsid w:val="00D67141"/>
    <w:rsid w:val="00D75EE6"/>
    <w:rsid w:val="00D8714C"/>
    <w:rsid w:val="00DA1874"/>
    <w:rsid w:val="00DB1351"/>
    <w:rsid w:val="00DD0A1E"/>
    <w:rsid w:val="00DE740A"/>
    <w:rsid w:val="00DF62E2"/>
    <w:rsid w:val="00E01471"/>
    <w:rsid w:val="00E24CA1"/>
    <w:rsid w:val="00E26B6E"/>
    <w:rsid w:val="00E27681"/>
    <w:rsid w:val="00E516AF"/>
    <w:rsid w:val="00E61E4C"/>
    <w:rsid w:val="00E6492B"/>
    <w:rsid w:val="00E84456"/>
    <w:rsid w:val="00E84D25"/>
    <w:rsid w:val="00EA1E0D"/>
    <w:rsid w:val="00EA607B"/>
    <w:rsid w:val="00EA6099"/>
    <w:rsid w:val="00EB6882"/>
    <w:rsid w:val="00EB7073"/>
    <w:rsid w:val="00ED3019"/>
    <w:rsid w:val="00ED5DBA"/>
    <w:rsid w:val="00F15BF7"/>
    <w:rsid w:val="00F33840"/>
    <w:rsid w:val="00F465AB"/>
    <w:rsid w:val="00F533CD"/>
    <w:rsid w:val="00F53799"/>
    <w:rsid w:val="00F66EE1"/>
    <w:rsid w:val="00F71DE8"/>
    <w:rsid w:val="00F9284C"/>
    <w:rsid w:val="00FA293A"/>
    <w:rsid w:val="00FA5B27"/>
    <w:rsid w:val="00FA5E2D"/>
    <w:rsid w:val="00FB6BE6"/>
    <w:rsid w:val="00FB76EF"/>
    <w:rsid w:val="00FC20B9"/>
    <w:rsid w:val="00FC344B"/>
    <w:rsid w:val="00FD6C44"/>
    <w:rsid w:val="00FF79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4B757"/>
  <w15:chartTrackingRefBased/>
  <w15:docId w15:val="{2CFF34CA-2B49-4392-8503-64BFA4C28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BA1"/>
    <w:pPr>
      <w:suppressAutoHyphens/>
    </w:pPr>
    <w:rPr>
      <w:sz w:val="24"/>
      <w:szCs w:val="24"/>
      <w:lang w:eastAsia="ar-SA"/>
    </w:rPr>
  </w:style>
  <w:style w:type="paragraph" w:styleId="Heading3">
    <w:name w:val="heading 3"/>
    <w:basedOn w:val="Normal"/>
    <w:next w:val="Normal"/>
    <w:link w:val="Heading3Char"/>
    <w:uiPriority w:val="9"/>
    <w:semiHidden/>
    <w:unhideWhenUsed/>
    <w:qFormat/>
    <w:rsid w:val="0098594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D262D9"/>
    <w:pPr>
      <w:keepNext/>
      <w:suppressAutoHyphens w:val="0"/>
      <w:spacing w:before="240" w:after="60"/>
      <w:outlineLvl w:val="3"/>
    </w:pPr>
    <w:rPr>
      <w:b/>
      <w:bCs/>
      <w:sz w:val="28"/>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character" w:customStyle="1" w:styleId="longtext">
    <w:name w:val="long_text"/>
    <w:basedOn w:val="DefaultParagraphFont"/>
    <w:rsid w:val="004A7031"/>
  </w:style>
  <w:style w:type="character" w:customStyle="1" w:styleId="hps">
    <w:name w:val="hps"/>
    <w:basedOn w:val="DefaultParagraphFont"/>
    <w:rsid w:val="00280D7B"/>
  </w:style>
  <w:style w:type="character" w:customStyle="1" w:styleId="Heading4Char">
    <w:name w:val="Heading 4 Char"/>
    <w:link w:val="Heading4"/>
    <w:rsid w:val="00D262D9"/>
    <w:rPr>
      <w:b/>
      <w:bCs/>
      <w:sz w:val="28"/>
      <w:szCs w:val="28"/>
      <w:lang w:val="en-US" w:eastAsia="en-US"/>
    </w:rPr>
  </w:style>
  <w:style w:type="paragraph" w:styleId="Header">
    <w:name w:val="header"/>
    <w:basedOn w:val="Normal"/>
    <w:link w:val="HeaderChar"/>
    <w:uiPriority w:val="99"/>
    <w:unhideWhenUsed/>
    <w:rsid w:val="007B0B47"/>
    <w:pPr>
      <w:tabs>
        <w:tab w:val="center" w:pos="4513"/>
        <w:tab w:val="right" w:pos="9026"/>
      </w:tabs>
    </w:pPr>
  </w:style>
  <w:style w:type="character" w:customStyle="1" w:styleId="HeaderChar">
    <w:name w:val="Header Char"/>
    <w:link w:val="Header"/>
    <w:uiPriority w:val="99"/>
    <w:rsid w:val="007B0B47"/>
    <w:rPr>
      <w:sz w:val="24"/>
      <w:szCs w:val="24"/>
      <w:lang w:val="en-US" w:eastAsia="ar-SA"/>
    </w:rPr>
  </w:style>
  <w:style w:type="paragraph" w:styleId="Footer">
    <w:name w:val="footer"/>
    <w:basedOn w:val="Normal"/>
    <w:link w:val="FooterChar"/>
    <w:uiPriority w:val="99"/>
    <w:unhideWhenUsed/>
    <w:rsid w:val="007B0B47"/>
    <w:pPr>
      <w:tabs>
        <w:tab w:val="center" w:pos="4513"/>
        <w:tab w:val="right" w:pos="9026"/>
      </w:tabs>
    </w:pPr>
  </w:style>
  <w:style w:type="character" w:customStyle="1" w:styleId="FooterChar">
    <w:name w:val="Footer Char"/>
    <w:link w:val="Footer"/>
    <w:uiPriority w:val="99"/>
    <w:rsid w:val="007B0B47"/>
    <w:rPr>
      <w:sz w:val="24"/>
      <w:szCs w:val="24"/>
      <w:lang w:val="en-US" w:eastAsia="ar-SA"/>
    </w:rPr>
  </w:style>
  <w:style w:type="paragraph" w:styleId="BalloonText">
    <w:name w:val="Balloon Text"/>
    <w:basedOn w:val="Normal"/>
    <w:link w:val="BalloonTextChar"/>
    <w:uiPriority w:val="99"/>
    <w:semiHidden/>
    <w:unhideWhenUsed/>
    <w:rsid w:val="00C7739C"/>
    <w:rPr>
      <w:rFonts w:ascii="Segoe UI" w:hAnsi="Segoe UI"/>
      <w:sz w:val="18"/>
      <w:szCs w:val="18"/>
    </w:rPr>
  </w:style>
  <w:style w:type="character" w:customStyle="1" w:styleId="BalloonTextChar">
    <w:name w:val="Balloon Text Char"/>
    <w:link w:val="BalloonText"/>
    <w:uiPriority w:val="99"/>
    <w:semiHidden/>
    <w:rsid w:val="00C7739C"/>
    <w:rPr>
      <w:rFonts w:ascii="Segoe UI" w:hAnsi="Segoe UI" w:cs="Segoe UI"/>
      <w:sz w:val="18"/>
      <w:szCs w:val="18"/>
      <w:lang w:val="en-US" w:eastAsia="ar-SA"/>
    </w:rPr>
  </w:style>
  <w:style w:type="paragraph" w:customStyle="1" w:styleId="isselectedend">
    <w:name w:val="isselectedend"/>
    <w:basedOn w:val="Normal"/>
    <w:rsid w:val="00914CFC"/>
    <w:pPr>
      <w:suppressAutoHyphens w:val="0"/>
      <w:spacing w:before="100" w:beforeAutospacing="1" w:after="100" w:afterAutospacing="1"/>
    </w:pPr>
    <w:rPr>
      <w:lang w:val="en-ID" w:eastAsia="en-GB"/>
    </w:rPr>
  </w:style>
  <w:style w:type="character" w:styleId="Strong">
    <w:name w:val="Strong"/>
    <w:basedOn w:val="DefaultParagraphFont"/>
    <w:uiPriority w:val="22"/>
    <w:qFormat/>
    <w:rsid w:val="00914CFC"/>
    <w:rPr>
      <w:b/>
      <w:bCs/>
    </w:rPr>
  </w:style>
  <w:style w:type="character" w:styleId="Emphasis">
    <w:name w:val="Emphasis"/>
    <w:basedOn w:val="DefaultParagraphFont"/>
    <w:uiPriority w:val="20"/>
    <w:qFormat/>
    <w:rsid w:val="00914CFC"/>
    <w:rPr>
      <w:i/>
      <w:iCs/>
    </w:rPr>
  </w:style>
  <w:style w:type="paragraph" w:styleId="NormalWeb">
    <w:name w:val="Normal (Web)"/>
    <w:basedOn w:val="Normal"/>
    <w:uiPriority w:val="99"/>
    <w:semiHidden/>
    <w:unhideWhenUsed/>
    <w:rsid w:val="00914CFC"/>
    <w:pPr>
      <w:suppressAutoHyphens w:val="0"/>
      <w:spacing w:before="100" w:beforeAutospacing="1" w:after="100" w:afterAutospacing="1"/>
    </w:pPr>
    <w:rPr>
      <w:lang w:val="en-ID" w:eastAsia="en-GB"/>
    </w:rPr>
  </w:style>
  <w:style w:type="character" w:styleId="UnresolvedMention">
    <w:name w:val="Unresolved Mention"/>
    <w:basedOn w:val="DefaultParagraphFont"/>
    <w:uiPriority w:val="99"/>
    <w:semiHidden/>
    <w:unhideWhenUsed/>
    <w:rsid w:val="002764B1"/>
    <w:rPr>
      <w:color w:val="605E5C"/>
      <w:shd w:val="clear" w:color="auto" w:fill="E1DFDD"/>
    </w:rPr>
  </w:style>
  <w:style w:type="paragraph" w:styleId="FootnoteText">
    <w:name w:val="footnote text"/>
    <w:basedOn w:val="Normal"/>
    <w:link w:val="FootnoteTextChar"/>
    <w:uiPriority w:val="99"/>
    <w:semiHidden/>
    <w:unhideWhenUsed/>
    <w:rsid w:val="00FB6BE6"/>
    <w:pPr>
      <w:suppressAutoHyphens w:val="0"/>
    </w:pPr>
    <w:rPr>
      <w:rFonts w:asciiTheme="minorHAnsi" w:eastAsiaTheme="minorHAnsi" w:hAnsiTheme="minorHAnsi" w:cstheme="minorBidi"/>
      <w:kern w:val="2"/>
      <w:sz w:val="20"/>
      <w:szCs w:val="20"/>
      <w:lang w:val="id-ID" w:eastAsia="en-US"/>
      <w14:ligatures w14:val="standardContextual"/>
    </w:rPr>
  </w:style>
  <w:style w:type="character" w:customStyle="1" w:styleId="FootnoteTextChar">
    <w:name w:val="Footnote Text Char"/>
    <w:basedOn w:val="DefaultParagraphFont"/>
    <w:link w:val="FootnoteText"/>
    <w:uiPriority w:val="99"/>
    <w:semiHidden/>
    <w:rsid w:val="00FB6BE6"/>
    <w:rPr>
      <w:rFonts w:asciiTheme="minorHAnsi" w:eastAsiaTheme="minorHAnsi" w:hAnsiTheme="minorHAnsi" w:cstheme="minorBidi"/>
      <w:kern w:val="2"/>
      <w:lang w:val="id-ID"/>
      <w14:ligatures w14:val="standardContextual"/>
    </w:rPr>
  </w:style>
  <w:style w:type="character" w:styleId="FootnoteReference">
    <w:name w:val="footnote reference"/>
    <w:basedOn w:val="DefaultParagraphFont"/>
    <w:uiPriority w:val="99"/>
    <w:semiHidden/>
    <w:unhideWhenUsed/>
    <w:rsid w:val="00FB6BE6"/>
    <w:rPr>
      <w:vertAlign w:val="superscript"/>
    </w:rPr>
  </w:style>
  <w:style w:type="character" w:customStyle="1" w:styleId="Heading3Char">
    <w:name w:val="Heading 3 Char"/>
    <w:basedOn w:val="DefaultParagraphFont"/>
    <w:link w:val="Heading3"/>
    <w:uiPriority w:val="9"/>
    <w:semiHidden/>
    <w:rsid w:val="0098594E"/>
    <w:rPr>
      <w:rFonts w:asciiTheme="majorHAnsi" w:eastAsiaTheme="majorEastAsia" w:hAnsiTheme="majorHAnsi" w:cstheme="majorBidi"/>
      <w:color w:val="1F4D78"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n.perpusnas.go.id/terbit/detail/1600758666" TargetMode="External"/><Relationship Id="rId13" Type="http://schemas.openxmlformats.org/officeDocument/2006/relationships/hyperlink" Target="mailto:muhtabran04@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n.perpusnas.go.id/terbit/detail/1599538467"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issn.perpusnas.go.id/terbit/detail/160075866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ssn.perpusnas.go.id/terbit/detail/1599538467" TargetMode="External"/><Relationship Id="rId14" Type="http://schemas.openxmlformats.org/officeDocument/2006/relationships/hyperlink" Target="https://creativecommons.org/licenses/by-nc/4.0/legalcod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83D45-33EC-440B-A824-C30F9E90F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11</Pages>
  <Words>16167</Words>
  <Characters>92154</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Preparation of Papers in Two-Column Format for ICICI</vt:lpstr>
    </vt:vector>
  </TitlesOfParts>
  <Company>Toshiba</Company>
  <LinksUpToDate>false</LinksUpToDate>
  <CharactersWithSpaces>108105</CharactersWithSpaces>
  <SharedDoc>false</SharedDoc>
  <HLinks>
    <vt:vector size="18" baseType="variant">
      <vt:variant>
        <vt:i4>4980762</vt:i4>
      </vt:variant>
      <vt:variant>
        <vt:i4>3</vt:i4>
      </vt:variant>
      <vt:variant>
        <vt:i4>0</vt:i4>
      </vt:variant>
      <vt:variant>
        <vt:i4>5</vt:i4>
      </vt:variant>
      <vt:variant>
        <vt:lpwstr>http://dcr.rpi.edu/commdesign/class1.html</vt:lpwstr>
      </vt:variant>
      <vt:variant>
        <vt:lpwstr/>
      </vt:variant>
      <vt:variant>
        <vt:i4>393290</vt:i4>
      </vt:variant>
      <vt:variant>
        <vt:i4>6</vt:i4>
      </vt:variant>
      <vt:variant>
        <vt:i4>0</vt:i4>
      </vt:variant>
      <vt:variant>
        <vt:i4>5</vt:i4>
      </vt:variant>
      <vt:variant>
        <vt:lpwstr>http://ejournal.undip.ac.id/index.php/jsinbis</vt:lpwstr>
      </vt:variant>
      <vt:variant>
        <vt:lpwstr/>
      </vt:variant>
      <vt:variant>
        <vt:i4>393290</vt:i4>
      </vt:variant>
      <vt:variant>
        <vt:i4>3</vt:i4>
      </vt:variant>
      <vt:variant>
        <vt:i4>0</vt:i4>
      </vt:variant>
      <vt:variant>
        <vt:i4>5</vt:i4>
      </vt:variant>
      <vt:variant>
        <vt:lpwstr>http://ejournal.undip.ac.id/index.php/jsinbis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 for ICICI</dc:title>
  <dc:subject/>
  <dc:creator>pengetikan</dc:creator>
  <cp:keywords/>
  <cp:lastModifiedBy>MT</cp:lastModifiedBy>
  <cp:revision>17</cp:revision>
  <cp:lastPrinted>2012-11-27T03:18:00Z</cp:lastPrinted>
  <dcterms:created xsi:type="dcterms:W3CDTF">2026-07-07T08:21:00Z</dcterms:created>
  <dcterms:modified xsi:type="dcterms:W3CDTF">2026-07-09T09:03:00Z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5ca82a03-70ee-46ea-acc6-73637cb8e6ba</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e39c3120-abca-3baf-8576-bb0f2d8a1183</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http://www.zotero.org/styles/chicago-note-bibliography</vt:lpwstr>
  </property>
  <property fmtid="{D5CDD505-2E9C-101B-9397-08002B2CF9AE}" pid="15" name="Mendeley Recent Style Name 4_1">
    <vt:lpwstr>Chicago Manual of Style 17th edition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